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C5439">
      <w:pPr>
        <w:widowControl/>
        <w:jc w:val="center"/>
        <w:rPr>
          <w:rFonts w:ascii="黑体" w:hAnsi="黑体" w:eastAsia="黑体"/>
          <w:sz w:val="48"/>
          <w:szCs w:val="48"/>
        </w:rPr>
      </w:pPr>
    </w:p>
    <w:p w14:paraId="5BC3955D">
      <w:pPr>
        <w:widowControl/>
        <w:jc w:val="center"/>
        <w:rPr>
          <w:rFonts w:ascii="黑体" w:hAnsi="黑体" w:eastAsia="黑体"/>
          <w:sz w:val="48"/>
          <w:szCs w:val="48"/>
        </w:rPr>
      </w:pPr>
    </w:p>
    <w:p w14:paraId="21AE0DB6">
      <w:pPr>
        <w:widowControl/>
        <w:jc w:val="center"/>
        <w:rPr>
          <w:rFonts w:ascii="黑体" w:hAnsi="黑体" w:eastAsia="黑体"/>
          <w:sz w:val="48"/>
          <w:szCs w:val="48"/>
        </w:rPr>
      </w:pPr>
    </w:p>
    <w:p w14:paraId="5EB7D8AE">
      <w:pPr>
        <w:widowControl/>
        <w:jc w:val="center"/>
        <w:rPr>
          <w:rFonts w:ascii="黑体" w:hAnsi="黑体" w:eastAsia="黑体"/>
          <w:sz w:val="48"/>
          <w:szCs w:val="48"/>
        </w:rPr>
      </w:pPr>
    </w:p>
    <w:p w14:paraId="505D66AE">
      <w:pPr>
        <w:widowControl/>
        <w:jc w:val="center"/>
        <w:rPr>
          <w:rFonts w:ascii="黑体" w:hAnsi="黑体" w:eastAsia="黑体"/>
          <w:sz w:val="48"/>
          <w:szCs w:val="48"/>
        </w:rPr>
      </w:pPr>
    </w:p>
    <w:p w14:paraId="7A1B4CD6">
      <w:pPr>
        <w:widowControl/>
        <w:jc w:val="center"/>
        <w:rPr>
          <w:rFonts w:ascii="黑体" w:hAnsi="黑体" w:eastAsia="黑体"/>
          <w:sz w:val="52"/>
          <w:szCs w:val="52"/>
        </w:rPr>
      </w:pPr>
    </w:p>
    <w:p w14:paraId="441CD4EC">
      <w:pPr>
        <w:jc w:val="center"/>
        <w:rPr>
          <w:rFonts w:ascii="方正小标宋简体" w:hAnsi="宋体" w:eastAsia="方正小标宋简体"/>
          <w:sz w:val="52"/>
          <w:szCs w:val="52"/>
        </w:rPr>
      </w:pPr>
      <w:r>
        <w:rPr>
          <w:rFonts w:hint="eastAsia" w:ascii="方正小标宋简体" w:hAnsi="宋体" w:eastAsia="方正小标宋简体"/>
          <w:sz w:val="52"/>
          <w:szCs w:val="52"/>
        </w:rPr>
        <w:t>2024年度</w:t>
      </w:r>
    </w:p>
    <w:p w14:paraId="45225F9F">
      <w:pPr>
        <w:jc w:val="center"/>
        <w:rPr>
          <w:rFonts w:ascii="方正小标宋简体" w:hAnsi="宋体" w:eastAsia="方正小标宋简体"/>
          <w:sz w:val="52"/>
          <w:szCs w:val="52"/>
        </w:rPr>
      </w:pPr>
      <w:r>
        <w:rPr>
          <w:rFonts w:hint="eastAsia" w:ascii="方正小标宋简体" w:hAnsi="宋体" w:eastAsia="方正小标宋简体"/>
          <w:sz w:val="52"/>
          <w:szCs w:val="52"/>
        </w:rPr>
        <w:t>广元市</w:t>
      </w:r>
      <w:r>
        <w:rPr>
          <w:rFonts w:ascii="方正小标宋简体" w:hAnsi="宋体" w:eastAsia="方正小标宋简体"/>
          <w:sz w:val="52"/>
          <w:szCs w:val="52"/>
        </w:rPr>
        <w:t>公安局交通</w:t>
      </w:r>
      <w:r>
        <w:rPr>
          <w:rFonts w:hint="eastAsia" w:ascii="方正小标宋简体" w:hAnsi="宋体" w:eastAsia="方正小标宋简体"/>
          <w:sz w:val="52"/>
          <w:szCs w:val="52"/>
          <w:lang w:eastAsia="zh-CN"/>
        </w:rPr>
        <w:t>警察</w:t>
      </w:r>
      <w:r>
        <w:rPr>
          <w:rFonts w:ascii="方正小标宋简体" w:hAnsi="宋体" w:eastAsia="方正小标宋简体"/>
          <w:sz w:val="52"/>
          <w:szCs w:val="52"/>
        </w:rPr>
        <w:t>支队</w:t>
      </w:r>
    </w:p>
    <w:p w14:paraId="0BDC447B">
      <w:pPr>
        <w:jc w:val="center"/>
        <w:rPr>
          <w:sz w:val="52"/>
          <w:szCs w:val="52"/>
        </w:rPr>
      </w:pPr>
      <w:r>
        <w:rPr>
          <w:rFonts w:hint="eastAsia" w:ascii="方正小标宋简体" w:hAnsi="宋体" w:eastAsia="方正小标宋简体"/>
          <w:sz w:val="52"/>
          <w:szCs w:val="52"/>
        </w:rPr>
        <w:t>部门决算</w:t>
      </w:r>
    </w:p>
    <w:p w14:paraId="23FCA3A3">
      <w:pPr>
        <w:widowControl/>
        <w:jc w:val="center"/>
        <w:rPr>
          <w:rFonts w:ascii="黑体" w:hAnsi="黑体" w:eastAsia="黑体"/>
          <w:sz w:val="48"/>
          <w:szCs w:val="48"/>
        </w:rPr>
      </w:pPr>
    </w:p>
    <w:p w14:paraId="1A11787D">
      <w:pPr>
        <w:widowControl/>
        <w:jc w:val="center"/>
        <w:rPr>
          <w:rFonts w:ascii="黑体" w:hAnsi="黑体" w:eastAsia="黑体"/>
          <w:sz w:val="48"/>
          <w:szCs w:val="48"/>
        </w:rPr>
      </w:pPr>
    </w:p>
    <w:p w14:paraId="20233C04">
      <w:pPr>
        <w:widowControl/>
        <w:jc w:val="center"/>
        <w:rPr>
          <w:rFonts w:ascii="黑体" w:hAnsi="黑体" w:eastAsia="黑体"/>
          <w:sz w:val="48"/>
          <w:szCs w:val="48"/>
        </w:rPr>
      </w:pPr>
    </w:p>
    <w:p w14:paraId="4044D7D6">
      <w:pPr>
        <w:widowControl/>
        <w:jc w:val="center"/>
        <w:rPr>
          <w:rFonts w:ascii="黑体" w:hAnsi="黑体" w:eastAsia="黑体"/>
          <w:sz w:val="48"/>
          <w:szCs w:val="48"/>
        </w:rPr>
      </w:pPr>
    </w:p>
    <w:p w14:paraId="7A593A8F">
      <w:pPr>
        <w:widowControl/>
        <w:jc w:val="center"/>
        <w:rPr>
          <w:rFonts w:ascii="黑体" w:hAnsi="黑体" w:eastAsia="黑体"/>
          <w:sz w:val="48"/>
          <w:szCs w:val="48"/>
        </w:rPr>
      </w:pPr>
    </w:p>
    <w:p w14:paraId="7E89BD09">
      <w:pPr>
        <w:widowControl/>
        <w:jc w:val="center"/>
        <w:rPr>
          <w:rFonts w:ascii="黑体" w:hAnsi="黑体" w:eastAsia="黑体"/>
          <w:sz w:val="48"/>
          <w:szCs w:val="48"/>
        </w:rPr>
      </w:pPr>
    </w:p>
    <w:p w14:paraId="2F782ABC">
      <w:pPr>
        <w:widowControl/>
        <w:jc w:val="center"/>
        <w:rPr>
          <w:rFonts w:ascii="黑体" w:hAnsi="黑体" w:eastAsia="黑体"/>
          <w:sz w:val="48"/>
          <w:szCs w:val="48"/>
        </w:rPr>
      </w:pPr>
    </w:p>
    <w:p w14:paraId="6EB7C570">
      <w:pPr>
        <w:widowControl/>
        <w:jc w:val="center"/>
        <w:rPr>
          <w:rFonts w:ascii="黑体" w:hAnsi="黑体" w:eastAsia="黑体"/>
          <w:sz w:val="48"/>
          <w:szCs w:val="48"/>
        </w:rPr>
      </w:pPr>
    </w:p>
    <w:p w14:paraId="39E613C2">
      <w:pPr>
        <w:widowControl/>
        <w:jc w:val="center"/>
        <w:rPr>
          <w:rFonts w:ascii="黑体" w:hAnsi="黑体" w:eastAsia="黑体"/>
          <w:sz w:val="48"/>
          <w:szCs w:val="48"/>
        </w:rPr>
      </w:pPr>
    </w:p>
    <w:p w14:paraId="55015637">
      <w:pPr>
        <w:widowControl/>
        <w:jc w:val="center"/>
        <w:rPr>
          <w:rFonts w:ascii="黑体" w:hAnsi="黑体" w:eastAsia="黑体"/>
          <w:sz w:val="48"/>
          <w:szCs w:val="48"/>
        </w:rPr>
      </w:pPr>
    </w:p>
    <w:p w14:paraId="324F77DE">
      <w:pPr>
        <w:widowControl/>
        <w:rPr>
          <w:rFonts w:ascii="黑体" w:hAnsi="黑体" w:eastAsia="黑体"/>
          <w:sz w:val="48"/>
          <w:szCs w:val="48"/>
        </w:rPr>
      </w:pPr>
    </w:p>
    <w:p w14:paraId="6314C281">
      <w:pPr>
        <w:widowControl/>
        <w:jc w:val="center"/>
        <w:rPr>
          <w:rFonts w:hint="eastAsia" w:ascii="黑体" w:hAnsi="黑体" w:eastAsia="黑体"/>
          <w:sz w:val="48"/>
          <w:szCs w:val="4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026872A7">
      <w:pPr>
        <w:widowControl/>
        <w:jc w:val="center"/>
        <w:rPr>
          <w:rFonts w:ascii="黑体" w:hAnsi="黑体" w:eastAsia="黑体"/>
          <w:sz w:val="28"/>
          <w:szCs w:val="28"/>
        </w:rPr>
      </w:pPr>
      <w:r>
        <w:rPr>
          <w:rFonts w:hint="eastAsia" w:ascii="黑体" w:hAnsi="黑体" w:eastAsia="黑体"/>
          <w:sz w:val="48"/>
          <w:szCs w:val="48"/>
        </w:rPr>
        <w:t>目  录</w:t>
      </w:r>
      <w:r>
        <w:rPr>
          <w:rFonts w:hint="eastAsia" w:ascii="黑体" w:hAnsi="黑体" w:eastAsia="黑体"/>
          <w:sz w:val="28"/>
          <w:szCs w:val="28"/>
        </w:rPr>
        <w:t xml:space="preserve"> </w:t>
      </w:r>
    </w:p>
    <w:p w14:paraId="1D06D5AC">
      <w:pPr>
        <w:pStyle w:val="9"/>
        <w:rPr>
          <w:rFonts w:ascii="仿宋" w:hAnsi="仿宋" w:eastAsia="仿宋"/>
          <w:sz w:val="28"/>
          <w:szCs w:val="28"/>
        </w:rPr>
      </w:pPr>
      <w:r>
        <w:rPr>
          <w:rFonts w:hint="eastAsia"/>
        </w:rPr>
        <w:t>公开时间：2025年10月2日</w:t>
      </w:r>
    </w:p>
    <w:sdt>
      <w:sdtPr>
        <w:rPr>
          <w:rFonts w:ascii="宋体" w:hAnsi="宋体" w:eastAsia="宋体" w:cs="Times New Roman"/>
          <w:kern w:val="2"/>
          <w:sz w:val="21"/>
          <w:szCs w:val="21"/>
          <w:lang w:val="en-US" w:eastAsia="zh-CN" w:bidi="ar-SA"/>
        </w:rPr>
        <w:id w:val="147481199"/>
        <w15:color w:val="DBDBDB"/>
        <w:docPartObj>
          <w:docPartGallery w:val="Table of Contents"/>
          <w:docPartUnique/>
        </w:docPartObj>
      </w:sdtPr>
      <w:sdtEndPr>
        <w:rPr>
          <w:rFonts w:ascii="宋体" w:hAnsi="宋体" w:eastAsia="宋体" w:cs="Times New Roman"/>
          <w:kern w:val="2"/>
          <w:sz w:val="21"/>
          <w:szCs w:val="21"/>
          <w:lang w:val="en-US" w:eastAsia="zh-CN" w:bidi="ar-SA"/>
        </w:rPr>
      </w:sdtEndPr>
      <w:sdtContent>
        <w:p w14:paraId="36C0BDFA">
          <w:pPr>
            <w:spacing w:before="0" w:beforeLines="0" w:after="0" w:afterLines="0" w:line="240" w:lineRule="auto"/>
            <w:ind w:left="0" w:leftChars="0" w:right="0" w:rightChars="0" w:firstLine="0" w:firstLineChars="0"/>
            <w:jc w:val="center"/>
          </w:pPr>
        </w:p>
        <w:p w14:paraId="4C7CB28A">
          <w:pPr>
            <w:pStyle w:val="9"/>
            <w:tabs>
              <w:tab w:val="right" w:leader="dot" w:pos="8306"/>
            </w:tabs>
          </w:pPr>
          <w:r>
            <w:fldChar w:fldCharType="begin"/>
          </w:r>
          <w:r>
            <w:instrText xml:space="preserve">TOC \o "1-2" \h \u </w:instrText>
          </w:r>
          <w:r>
            <w:fldChar w:fldCharType="separate"/>
          </w:r>
          <w:r>
            <w:fldChar w:fldCharType="begin"/>
          </w:r>
          <w:r>
            <w:instrText xml:space="preserve"> HYPERLINK \l _Toc28241 </w:instrText>
          </w:r>
          <w:r>
            <w:fldChar w:fldCharType="separate"/>
          </w:r>
          <w:r>
            <w:rPr>
              <w:rFonts w:hint="eastAsia"/>
            </w:rPr>
            <w:t>第一部分 部门概况</w:t>
          </w:r>
          <w:r>
            <w:tab/>
          </w:r>
          <w:r>
            <w:fldChar w:fldCharType="begin"/>
          </w:r>
          <w:r>
            <w:instrText xml:space="preserve"> PAGEREF _Toc28241 \h </w:instrText>
          </w:r>
          <w:r>
            <w:fldChar w:fldCharType="separate"/>
          </w:r>
          <w:r>
            <w:t>1</w:t>
          </w:r>
          <w:r>
            <w:fldChar w:fldCharType="end"/>
          </w:r>
          <w:r>
            <w:fldChar w:fldCharType="end"/>
          </w:r>
        </w:p>
        <w:p w14:paraId="2B73DF5F">
          <w:pPr>
            <w:pStyle w:val="10"/>
            <w:tabs>
              <w:tab w:val="right" w:leader="dot" w:pos="8306"/>
            </w:tabs>
          </w:pPr>
          <w:r>
            <w:fldChar w:fldCharType="begin"/>
          </w:r>
          <w:r>
            <w:instrText xml:space="preserve"> HYPERLINK \l _Toc5753 </w:instrText>
          </w:r>
          <w:r>
            <w:fldChar w:fldCharType="separate"/>
          </w:r>
          <w:r>
            <w:rPr>
              <w:rFonts w:hint="eastAsia"/>
            </w:rPr>
            <w:t>一、部门职责</w:t>
          </w:r>
          <w:r>
            <w:tab/>
          </w:r>
          <w:r>
            <w:fldChar w:fldCharType="begin"/>
          </w:r>
          <w:r>
            <w:instrText xml:space="preserve"> PAGEREF _Toc5753 \h </w:instrText>
          </w:r>
          <w:r>
            <w:fldChar w:fldCharType="separate"/>
          </w:r>
          <w:r>
            <w:t>1</w:t>
          </w:r>
          <w:r>
            <w:fldChar w:fldCharType="end"/>
          </w:r>
          <w:r>
            <w:fldChar w:fldCharType="end"/>
          </w:r>
        </w:p>
        <w:p w14:paraId="2E4AD45B">
          <w:pPr>
            <w:pStyle w:val="10"/>
            <w:tabs>
              <w:tab w:val="right" w:leader="dot" w:pos="8306"/>
            </w:tabs>
          </w:pPr>
          <w:r>
            <w:fldChar w:fldCharType="begin"/>
          </w:r>
          <w:r>
            <w:instrText xml:space="preserve"> HYPERLINK \l _Toc8284 </w:instrText>
          </w:r>
          <w:r>
            <w:fldChar w:fldCharType="separate"/>
          </w:r>
          <w:r>
            <w:rPr>
              <w:rFonts w:hint="eastAsia"/>
            </w:rPr>
            <w:t>二、机构设置</w:t>
          </w:r>
          <w:r>
            <w:tab/>
          </w:r>
          <w:r>
            <w:fldChar w:fldCharType="begin"/>
          </w:r>
          <w:r>
            <w:instrText xml:space="preserve"> PAGEREF _Toc8284 \h </w:instrText>
          </w:r>
          <w:r>
            <w:fldChar w:fldCharType="separate"/>
          </w:r>
          <w:r>
            <w:t>1</w:t>
          </w:r>
          <w:r>
            <w:fldChar w:fldCharType="end"/>
          </w:r>
          <w:r>
            <w:fldChar w:fldCharType="end"/>
          </w:r>
        </w:p>
        <w:p w14:paraId="50407F40">
          <w:pPr>
            <w:pStyle w:val="9"/>
            <w:tabs>
              <w:tab w:val="right" w:leader="dot" w:pos="8306"/>
            </w:tabs>
          </w:pPr>
          <w:r>
            <w:fldChar w:fldCharType="begin"/>
          </w:r>
          <w:r>
            <w:instrText xml:space="preserve"> HYPERLINK \l _Toc16849 </w:instrText>
          </w:r>
          <w:r>
            <w:fldChar w:fldCharType="separate"/>
          </w:r>
          <w:r>
            <w:rPr>
              <w:rFonts w:hint="eastAsia"/>
            </w:rPr>
            <w:t>第二部分 2024年度部门决算情况说明</w:t>
          </w:r>
          <w:r>
            <w:tab/>
          </w:r>
          <w:r>
            <w:fldChar w:fldCharType="begin"/>
          </w:r>
          <w:r>
            <w:instrText xml:space="preserve"> PAGEREF _Toc16849 \h </w:instrText>
          </w:r>
          <w:r>
            <w:fldChar w:fldCharType="separate"/>
          </w:r>
          <w:r>
            <w:t>2</w:t>
          </w:r>
          <w:r>
            <w:fldChar w:fldCharType="end"/>
          </w:r>
          <w:r>
            <w:fldChar w:fldCharType="end"/>
          </w:r>
        </w:p>
        <w:p w14:paraId="5011787E">
          <w:pPr>
            <w:pStyle w:val="10"/>
            <w:tabs>
              <w:tab w:val="right" w:leader="dot" w:pos="8306"/>
            </w:tabs>
          </w:pPr>
          <w:r>
            <w:fldChar w:fldCharType="begin"/>
          </w:r>
          <w:r>
            <w:instrText xml:space="preserve"> HYPERLINK \l _Toc3468 </w:instrText>
          </w:r>
          <w:r>
            <w:fldChar w:fldCharType="separate"/>
          </w:r>
          <w:r>
            <w:rPr>
              <w:rFonts w:hint="eastAsia"/>
            </w:rPr>
            <w:t>一、收入支出决算总体情况说明</w:t>
          </w:r>
          <w:r>
            <w:tab/>
          </w:r>
          <w:r>
            <w:fldChar w:fldCharType="begin"/>
          </w:r>
          <w:r>
            <w:instrText xml:space="preserve"> PAGEREF _Toc3468 \h </w:instrText>
          </w:r>
          <w:r>
            <w:fldChar w:fldCharType="separate"/>
          </w:r>
          <w:r>
            <w:t>2</w:t>
          </w:r>
          <w:r>
            <w:fldChar w:fldCharType="end"/>
          </w:r>
          <w:r>
            <w:fldChar w:fldCharType="end"/>
          </w:r>
        </w:p>
        <w:p w14:paraId="59BB5170">
          <w:pPr>
            <w:pStyle w:val="10"/>
            <w:tabs>
              <w:tab w:val="right" w:leader="dot" w:pos="8306"/>
            </w:tabs>
          </w:pPr>
          <w:r>
            <w:fldChar w:fldCharType="begin"/>
          </w:r>
          <w:r>
            <w:instrText xml:space="preserve"> HYPERLINK \l _Toc4540 </w:instrText>
          </w:r>
          <w:r>
            <w:fldChar w:fldCharType="separate"/>
          </w:r>
          <w:r>
            <w:rPr>
              <w:rFonts w:hint="eastAsia"/>
            </w:rPr>
            <w:t>二、收入决算情况说明</w:t>
          </w:r>
          <w:r>
            <w:tab/>
          </w:r>
          <w:r>
            <w:fldChar w:fldCharType="begin"/>
          </w:r>
          <w:r>
            <w:instrText xml:space="preserve"> PAGEREF _Toc4540 \h </w:instrText>
          </w:r>
          <w:r>
            <w:fldChar w:fldCharType="separate"/>
          </w:r>
          <w:r>
            <w:t>2</w:t>
          </w:r>
          <w:r>
            <w:fldChar w:fldCharType="end"/>
          </w:r>
          <w:r>
            <w:fldChar w:fldCharType="end"/>
          </w:r>
        </w:p>
        <w:p w14:paraId="080C35F0">
          <w:pPr>
            <w:pStyle w:val="10"/>
            <w:tabs>
              <w:tab w:val="right" w:leader="dot" w:pos="8306"/>
            </w:tabs>
          </w:pPr>
          <w:r>
            <w:fldChar w:fldCharType="begin"/>
          </w:r>
          <w:r>
            <w:instrText xml:space="preserve"> HYPERLINK \l _Toc10231 </w:instrText>
          </w:r>
          <w:r>
            <w:fldChar w:fldCharType="separate"/>
          </w:r>
          <w:r>
            <w:rPr>
              <w:rFonts w:hint="eastAsia"/>
            </w:rPr>
            <w:t>三、支出决算情况说明</w:t>
          </w:r>
          <w:r>
            <w:tab/>
          </w:r>
          <w:r>
            <w:fldChar w:fldCharType="begin"/>
          </w:r>
          <w:r>
            <w:instrText xml:space="preserve"> PAGEREF _Toc10231 \h </w:instrText>
          </w:r>
          <w:r>
            <w:fldChar w:fldCharType="separate"/>
          </w:r>
          <w:r>
            <w:t>3</w:t>
          </w:r>
          <w:r>
            <w:fldChar w:fldCharType="end"/>
          </w:r>
          <w:r>
            <w:fldChar w:fldCharType="end"/>
          </w:r>
        </w:p>
        <w:p w14:paraId="6C92665E">
          <w:pPr>
            <w:pStyle w:val="10"/>
            <w:tabs>
              <w:tab w:val="right" w:leader="dot" w:pos="8306"/>
            </w:tabs>
          </w:pPr>
          <w:r>
            <w:fldChar w:fldCharType="begin"/>
          </w:r>
          <w:r>
            <w:instrText xml:space="preserve"> HYPERLINK \l _Toc12820 </w:instrText>
          </w:r>
          <w:r>
            <w:fldChar w:fldCharType="separate"/>
          </w:r>
          <w:r>
            <w:rPr>
              <w:rFonts w:hint="eastAsia"/>
            </w:rPr>
            <w:t>四、财政拨款收入支出决算总体情况说明</w:t>
          </w:r>
          <w:r>
            <w:tab/>
          </w:r>
          <w:r>
            <w:fldChar w:fldCharType="begin"/>
          </w:r>
          <w:r>
            <w:instrText xml:space="preserve"> PAGEREF _Toc12820 \h </w:instrText>
          </w:r>
          <w:r>
            <w:fldChar w:fldCharType="separate"/>
          </w:r>
          <w:r>
            <w:t>3</w:t>
          </w:r>
          <w:r>
            <w:fldChar w:fldCharType="end"/>
          </w:r>
          <w:r>
            <w:fldChar w:fldCharType="end"/>
          </w:r>
        </w:p>
        <w:p w14:paraId="71AFECE5">
          <w:pPr>
            <w:pStyle w:val="10"/>
            <w:tabs>
              <w:tab w:val="right" w:leader="dot" w:pos="8306"/>
            </w:tabs>
          </w:pPr>
          <w:r>
            <w:fldChar w:fldCharType="begin"/>
          </w:r>
          <w:r>
            <w:instrText xml:space="preserve"> HYPERLINK \l _Toc19908 </w:instrText>
          </w:r>
          <w:r>
            <w:fldChar w:fldCharType="separate"/>
          </w:r>
          <w:r>
            <w:rPr>
              <w:rFonts w:hint="eastAsia"/>
            </w:rPr>
            <w:t>五、一般公共预算财政拨款支出决算情况说明</w:t>
          </w:r>
          <w:r>
            <w:tab/>
          </w:r>
          <w:r>
            <w:fldChar w:fldCharType="begin"/>
          </w:r>
          <w:r>
            <w:instrText xml:space="preserve"> PAGEREF _Toc19908 \h </w:instrText>
          </w:r>
          <w:r>
            <w:fldChar w:fldCharType="separate"/>
          </w:r>
          <w:r>
            <w:t>4</w:t>
          </w:r>
          <w:r>
            <w:fldChar w:fldCharType="end"/>
          </w:r>
          <w:r>
            <w:fldChar w:fldCharType="end"/>
          </w:r>
        </w:p>
        <w:p w14:paraId="1B6F8B5E">
          <w:pPr>
            <w:pStyle w:val="10"/>
            <w:tabs>
              <w:tab w:val="right" w:leader="dot" w:pos="8306"/>
            </w:tabs>
          </w:pPr>
          <w:r>
            <w:fldChar w:fldCharType="begin"/>
          </w:r>
          <w:r>
            <w:instrText xml:space="preserve"> HYPERLINK \l _Toc11083 </w:instrText>
          </w:r>
          <w:r>
            <w:fldChar w:fldCharType="separate"/>
          </w:r>
          <w:r>
            <w:rPr>
              <w:rFonts w:hint="eastAsia" w:eastAsia="宋体" w:cs="Times New Roman"/>
            </w:rPr>
            <w:t>六、一般公共预算财政拨款基本支出决算情况说明</w:t>
          </w:r>
          <w:r>
            <w:rPr>
              <w:rFonts w:hint="eastAsia" w:eastAsia="宋体" w:cs="Times New Roman"/>
            </w:rPr>
            <w:tab/>
          </w:r>
          <w:r>
            <w:fldChar w:fldCharType="begin"/>
          </w:r>
          <w:r>
            <w:instrText xml:space="preserve"> PAGEREF _Toc11083 \h </w:instrText>
          </w:r>
          <w:r>
            <w:fldChar w:fldCharType="separate"/>
          </w:r>
          <w:r>
            <w:t>6</w:t>
          </w:r>
          <w:r>
            <w:fldChar w:fldCharType="end"/>
          </w:r>
          <w:r>
            <w:fldChar w:fldCharType="end"/>
          </w:r>
        </w:p>
        <w:p w14:paraId="494E1E26">
          <w:pPr>
            <w:pStyle w:val="10"/>
            <w:tabs>
              <w:tab w:val="right" w:leader="dot" w:pos="8306"/>
            </w:tabs>
          </w:pPr>
          <w:r>
            <w:fldChar w:fldCharType="begin"/>
          </w:r>
          <w:r>
            <w:instrText xml:space="preserve"> HYPERLINK \l _Toc9438 </w:instrText>
          </w:r>
          <w:r>
            <w:fldChar w:fldCharType="separate"/>
          </w:r>
          <w:r>
            <w:rPr>
              <w:rFonts w:hint="eastAsia"/>
            </w:rPr>
            <w:t>七、财政拨款“三公”经费支出决算情况说明</w:t>
          </w:r>
          <w:r>
            <w:tab/>
          </w:r>
          <w:r>
            <w:fldChar w:fldCharType="begin"/>
          </w:r>
          <w:r>
            <w:instrText xml:space="preserve"> PAGEREF _Toc9438 \h </w:instrText>
          </w:r>
          <w:r>
            <w:fldChar w:fldCharType="separate"/>
          </w:r>
          <w:r>
            <w:t>7</w:t>
          </w:r>
          <w:r>
            <w:fldChar w:fldCharType="end"/>
          </w:r>
          <w:r>
            <w:fldChar w:fldCharType="end"/>
          </w:r>
        </w:p>
        <w:p w14:paraId="499A595F">
          <w:pPr>
            <w:pStyle w:val="10"/>
            <w:tabs>
              <w:tab w:val="right" w:leader="dot" w:pos="8306"/>
            </w:tabs>
          </w:pPr>
          <w:r>
            <w:fldChar w:fldCharType="begin"/>
          </w:r>
          <w:r>
            <w:instrText xml:space="preserve"> HYPERLINK \l _Toc21984 </w:instrText>
          </w:r>
          <w:r>
            <w:fldChar w:fldCharType="separate"/>
          </w:r>
          <w:r>
            <w:rPr>
              <w:rFonts w:hint="eastAsia"/>
            </w:rPr>
            <w:t>八、政府性基金预算支出决算情况说明</w:t>
          </w:r>
          <w:r>
            <w:tab/>
          </w:r>
          <w:r>
            <w:fldChar w:fldCharType="begin"/>
          </w:r>
          <w:r>
            <w:instrText xml:space="preserve"> PAGEREF _Toc21984 \h </w:instrText>
          </w:r>
          <w:r>
            <w:fldChar w:fldCharType="separate"/>
          </w:r>
          <w:r>
            <w:t>9</w:t>
          </w:r>
          <w:r>
            <w:fldChar w:fldCharType="end"/>
          </w:r>
          <w:r>
            <w:fldChar w:fldCharType="end"/>
          </w:r>
        </w:p>
        <w:p w14:paraId="006EE116">
          <w:pPr>
            <w:pStyle w:val="10"/>
            <w:tabs>
              <w:tab w:val="right" w:leader="dot" w:pos="8306"/>
            </w:tabs>
          </w:pPr>
          <w:r>
            <w:fldChar w:fldCharType="begin"/>
          </w:r>
          <w:r>
            <w:instrText xml:space="preserve"> HYPERLINK \l _Toc11547 </w:instrText>
          </w:r>
          <w:r>
            <w:fldChar w:fldCharType="separate"/>
          </w:r>
          <w:r>
            <w:rPr>
              <w:rFonts w:hint="eastAsia"/>
            </w:rPr>
            <w:t>九、国有资本经营预算支出决算情况说明</w:t>
          </w:r>
          <w:r>
            <w:tab/>
          </w:r>
          <w:r>
            <w:fldChar w:fldCharType="begin"/>
          </w:r>
          <w:r>
            <w:instrText xml:space="preserve"> PAGEREF _Toc11547 \h </w:instrText>
          </w:r>
          <w:r>
            <w:fldChar w:fldCharType="separate"/>
          </w:r>
          <w:r>
            <w:t>9</w:t>
          </w:r>
          <w:r>
            <w:fldChar w:fldCharType="end"/>
          </w:r>
          <w:r>
            <w:fldChar w:fldCharType="end"/>
          </w:r>
        </w:p>
        <w:p w14:paraId="56F44531">
          <w:pPr>
            <w:pStyle w:val="10"/>
            <w:tabs>
              <w:tab w:val="right" w:leader="dot" w:pos="8306"/>
            </w:tabs>
          </w:pPr>
          <w:r>
            <w:fldChar w:fldCharType="begin"/>
          </w:r>
          <w:r>
            <w:instrText xml:space="preserve"> HYPERLINK \l _Toc24150 </w:instrText>
          </w:r>
          <w:r>
            <w:fldChar w:fldCharType="separate"/>
          </w:r>
          <w:r>
            <w:rPr>
              <w:rFonts w:hint="eastAsia"/>
            </w:rPr>
            <w:t>十、其他重要事项的情况说明</w:t>
          </w:r>
          <w:r>
            <w:tab/>
          </w:r>
          <w:r>
            <w:fldChar w:fldCharType="begin"/>
          </w:r>
          <w:r>
            <w:instrText xml:space="preserve"> PAGEREF _Toc24150 \h </w:instrText>
          </w:r>
          <w:r>
            <w:fldChar w:fldCharType="separate"/>
          </w:r>
          <w:r>
            <w:t>9</w:t>
          </w:r>
          <w:r>
            <w:fldChar w:fldCharType="end"/>
          </w:r>
          <w:r>
            <w:fldChar w:fldCharType="end"/>
          </w:r>
        </w:p>
        <w:p w14:paraId="0BC1A33C">
          <w:pPr>
            <w:pStyle w:val="9"/>
            <w:tabs>
              <w:tab w:val="right" w:leader="dot" w:pos="8306"/>
            </w:tabs>
          </w:pPr>
          <w:r>
            <w:fldChar w:fldCharType="begin"/>
          </w:r>
          <w:r>
            <w:instrText xml:space="preserve"> HYPERLINK \l _Toc1234 </w:instrText>
          </w:r>
          <w:r>
            <w:fldChar w:fldCharType="separate"/>
          </w:r>
          <w:r>
            <w:rPr>
              <w:rFonts w:hint="eastAsia"/>
            </w:rPr>
            <w:t>第三部分  名词解释</w:t>
          </w:r>
          <w:r>
            <w:tab/>
          </w:r>
          <w:r>
            <w:fldChar w:fldCharType="begin"/>
          </w:r>
          <w:r>
            <w:instrText xml:space="preserve"> PAGEREF _Toc1234 \h </w:instrText>
          </w:r>
          <w:r>
            <w:fldChar w:fldCharType="separate"/>
          </w:r>
          <w:r>
            <w:t>12</w:t>
          </w:r>
          <w:r>
            <w:fldChar w:fldCharType="end"/>
          </w:r>
          <w:r>
            <w:fldChar w:fldCharType="end"/>
          </w:r>
        </w:p>
        <w:p w14:paraId="3A0DCC14">
          <w:pPr>
            <w:pStyle w:val="9"/>
            <w:tabs>
              <w:tab w:val="right" w:leader="dot" w:pos="8306"/>
            </w:tabs>
          </w:pPr>
          <w:r>
            <w:fldChar w:fldCharType="begin"/>
          </w:r>
          <w:r>
            <w:instrText xml:space="preserve"> HYPERLINK \l _Toc1538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_Toc1538 \h </w:instrText>
          </w:r>
          <w:r>
            <w:fldChar w:fldCharType="separate"/>
          </w:r>
          <w:r>
            <w:t>14</w:t>
          </w:r>
          <w:r>
            <w:fldChar w:fldCharType="end"/>
          </w:r>
          <w:r>
            <w:fldChar w:fldCharType="end"/>
          </w:r>
        </w:p>
        <w:p w14:paraId="7C0DD1A9">
          <w:pPr>
            <w:pStyle w:val="9"/>
            <w:tabs>
              <w:tab w:val="right" w:leader="dot" w:pos="8306"/>
            </w:tabs>
            <w:rPr>
              <w:rFonts w:hint="eastAsia" w:eastAsia="仿宋_GB2312"/>
              <w:lang w:val="en-US" w:eastAsia="zh-CN"/>
            </w:rPr>
          </w:pPr>
          <w:r>
            <w:fldChar w:fldCharType="begin"/>
          </w:r>
          <w:r>
            <w:instrText xml:space="preserve"> HYPERLINK \l _Toc28459 </w:instrText>
          </w:r>
          <w:r>
            <w:fldChar w:fldCharType="separate"/>
          </w:r>
          <w:r>
            <w:rPr>
              <w:rFonts w:hint="eastAsia"/>
            </w:rPr>
            <w:t>第五部分 附表</w:t>
          </w:r>
          <w:r>
            <w:tab/>
          </w:r>
          <w:r>
            <w:rPr>
              <w:rFonts w:hint="eastAsia"/>
              <w:lang w:val="en-US" w:eastAsia="zh-CN"/>
            </w:rPr>
            <w:t>8</w:t>
          </w:r>
          <w:r>
            <w:fldChar w:fldCharType="end"/>
          </w:r>
          <w:r>
            <w:rPr>
              <w:rFonts w:hint="eastAsia"/>
              <w:lang w:val="en-US" w:eastAsia="zh-CN"/>
            </w:rPr>
            <w:t>1</w:t>
          </w:r>
        </w:p>
        <w:p w14:paraId="08AFC1FB">
          <w:pPr>
            <w:pStyle w:val="10"/>
            <w:tabs>
              <w:tab w:val="right" w:leader="dot" w:pos="8306"/>
            </w:tabs>
            <w:rPr>
              <w:rFonts w:hint="eastAsia" w:eastAsia="宋体"/>
              <w:lang w:val="en-US" w:eastAsia="zh-CN"/>
            </w:rPr>
          </w:pPr>
          <w:r>
            <w:fldChar w:fldCharType="begin"/>
          </w:r>
          <w:r>
            <w:instrText xml:space="preserve"> HYPERLINK \l _Toc9018 </w:instrText>
          </w:r>
          <w:r>
            <w:fldChar w:fldCharType="separate"/>
          </w:r>
          <w:r>
            <w:rPr>
              <w:rFonts w:hint="eastAsia" w:ascii="仿宋" w:hAnsi="仿宋" w:eastAsia="仿宋" w:cs="仿宋"/>
              <w:bCs/>
            </w:rPr>
            <w:t>一、收入支出决算总表</w:t>
          </w:r>
          <w:r>
            <w:tab/>
          </w:r>
          <w:r>
            <w:rPr>
              <w:rFonts w:hint="eastAsia"/>
              <w:lang w:val="en-US" w:eastAsia="zh-CN"/>
            </w:rPr>
            <w:t>8</w:t>
          </w:r>
          <w:r>
            <w:fldChar w:fldCharType="end"/>
          </w:r>
          <w:r>
            <w:rPr>
              <w:rFonts w:hint="eastAsia"/>
              <w:lang w:val="en-US" w:eastAsia="zh-CN"/>
            </w:rPr>
            <w:t>1</w:t>
          </w:r>
        </w:p>
        <w:p w14:paraId="1C6A4C17">
          <w:pPr>
            <w:pStyle w:val="10"/>
            <w:tabs>
              <w:tab w:val="right" w:leader="dot" w:pos="8306"/>
            </w:tabs>
            <w:rPr>
              <w:rFonts w:hint="eastAsia" w:eastAsia="宋体"/>
              <w:lang w:val="en-US" w:eastAsia="zh-CN"/>
            </w:rPr>
          </w:pPr>
          <w:r>
            <w:fldChar w:fldCharType="begin"/>
          </w:r>
          <w:r>
            <w:instrText xml:space="preserve"> HYPERLINK \l _Toc30549 </w:instrText>
          </w:r>
          <w:r>
            <w:fldChar w:fldCharType="separate"/>
          </w:r>
          <w:r>
            <w:rPr>
              <w:rFonts w:hint="eastAsia" w:ascii="仿宋" w:hAnsi="仿宋" w:eastAsia="仿宋" w:cs="仿宋"/>
              <w:bCs/>
            </w:rPr>
            <w:t>二、收入决算表</w:t>
          </w:r>
          <w:r>
            <w:tab/>
          </w:r>
          <w:r>
            <w:rPr>
              <w:rFonts w:hint="eastAsia"/>
              <w:lang w:val="en-US" w:eastAsia="zh-CN"/>
            </w:rPr>
            <w:t>8</w:t>
          </w:r>
          <w:r>
            <w:fldChar w:fldCharType="end"/>
          </w:r>
          <w:r>
            <w:rPr>
              <w:rFonts w:hint="eastAsia"/>
              <w:lang w:val="en-US" w:eastAsia="zh-CN"/>
            </w:rPr>
            <w:t>1</w:t>
          </w:r>
        </w:p>
        <w:p w14:paraId="7EC3E2EA">
          <w:pPr>
            <w:pStyle w:val="10"/>
            <w:tabs>
              <w:tab w:val="right" w:leader="dot" w:pos="8306"/>
            </w:tabs>
            <w:rPr>
              <w:rFonts w:hint="eastAsia" w:eastAsia="宋体"/>
              <w:lang w:val="en-US" w:eastAsia="zh-CN"/>
            </w:rPr>
          </w:pPr>
          <w:r>
            <w:fldChar w:fldCharType="begin"/>
          </w:r>
          <w:r>
            <w:instrText xml:space="preserve"> HYPERLINK \l _Toc925 </w:instrText>
          </w:r>
          <w:r>
            <w:fldChar w:fldCharType="separate"/>
          </w:r>
          <w:r>
            <w:rPr>
              <w:rFonts w:hint="eastAsia" w:ascii="仿宋" w:hAnsi="仿宋" w:eastAsia="仿宋" w:cs="仿宋"/>
              <w:bCs/>
            </w:rPr>
            <w:t>三、支出决算表</w:t>
          </w:r>
          <w:r>
            <w:tab/>
          </w:r>
          <w:r>
            <w:rPr>
              <w:rFonts w:hint="eastAsia"/>
              <w:lang w:val="en-US" w:eastAsia="zh-CN"/>
            </w:rPr>
            <w:t>8</w:t>
          </w:r>
          <w:r>
            <w:fldChar w:fldCharType="end"/>
          </w:r>
          <w:r>
            <w:rPr>
              <w:rFonts w:hint="eastAsia"/>
              <w:lang w:val="en-US" w:eastAsia="zh-CN"/>
            </w:rPr>
            <w:t>1</w:t>
          </w:r>
        </w:p>
        <w:p w14:paraId="404E4EDE">
          <w:pPr>
            <w:pStyle w:val="10"/>
            <w:tabs>
              <w:tab w:val="right" w:leader="dot" w:pos="8306"/>
            </w:tabs>
            <w:rPr>
              <w:rFonts w:hint="eastAsia" w:eastAsia="宋体"/>
              <w:lang w:val="en-US" w:eastAsia="zh-CN"/>
            </w:rPr>
          </w:pPr>
          <w:r>
            <w:fldChar w:fldCharType="begin"/>
          </w:r>
          <w:r>
            <w:instrText xml:space="preserve"> HYPERLINK \l _Toc30890 </w:instrText>
          </w:r>
          <w:r>
            <w:fldChar w:fldCharType="separate"/>
          </w:r>
          <w:r>
            <w:rPr>
              <w:rFonts w:hint="eastAsia" w:ascii="仿宋" w:hAnsi="仿宋" w:eastAsia="仿宋" w:cs="仿宋"/>
              <w:bCs/>
            </w:rPr>
            <w:t>四、财政拨款收入支出决算总表</w:t>
          </w:r>
          <w:r>
            <w:tab/>
          </w:r>
          <w:r>
            <w:rPr>
              <w:rFonts w:hint="eastAsia"/>
              <w:lang w:val="en-US" w:eastAsia="zh-CN"/>
            </w:rPr>
            <w:t>8</w:t>
          </w:r>
          <w:r>
            <w:fldChar w:fldCharType="end"/>
          </w:r>
          <w:r>
            <w:rPr>
              <w:rFonts w:hint="eastAsia"/>
              <w:lang w:val="en-US" w:eastAsia="zh-CN"/>
            </w:rPr>
            <w:t>1</w:t>
          </w:r>
        </w:p>
        <w:p w14:paraId="630F62BC">
          <w:pPr>
            <w:pStyle w:val="10"/>
            <w:tabs>
              <w:tab w:val="right" w:leader="dot" w:pos="8306"/>
            </w:tabs>
            <w:rPr>
              <w:rFonts w:hint="eastAsia" w:eastAsia="宋体"/>
              <w:lang w:val="en-US" w:eastAsia="zh-CN"/>
            </w:rPr>
          </w:pPr>
          <w:r>
            <w:fldChar w:fldCharType="begin"/>
          </w:r>
          <w:r>
            <w:instrText xml:space="preserve"> HYPERLINK \l _Toc28870 </w:instrText>
          </w:r>
          <w:r>
            <w:fldChar w:fldCharType="separate"/>
          </w:r>
          <w:r>
            <w:rPr>
              <w:rFonts w:hint="eastAsia" w:ascii="仿宋" w:hAnsi="仿宋" w:eastAsia="仿宋" w:cs="仿宋"/>
              <w:bCs/>
            </w:rPr>
            <w:t>五、财政拨款支出决算明细表</w:t>
          </w:r>
          <w:r>
            <w:tab/>
          </w:r>
          <w:r>
            <w:rPr>
              <w:rFonts w:hint="eastAsia"/>
              <w:lang w:val="en-US" w:eastAsia="zh-CN"/>
            </w:rPr>
            <w:t>8</w:t>
          </w:r>
          <w:r>
            <w:fldChar w:fldCharType="end"/>
          </w:r>
          <w:r>
            <w:rPr>
              <w:rFonts w:hint="eastAsia"/>
              <w:lang w:val="en-US" w:eastAsia="zh-CN"/>
            </w:rPr>
            <w:t>1</w:t>
          </w:r>
        </w:p>
        <w:p w14:paraId="2B833FE7">
          <w:pPr>
            <w:pStyle w:val="10"/>
            <w:tabs>
              <w:tab w:val="right" w:leader="dot" w:pos="8306"/>
            </w:tabs>
            <w:rPr>
              <w:rFonts w:hint="eastAsia" w:eastAsia="宋体"/>
              <w:lang w:val="en-US" w:eastAsia="zh-CN"/>
            </w:rPr>
          </w:pPr>
          <w:r>
            <w:fldChar w:fldCharType="begin"/>
          </w:r>
          <w:r>
            <w:instrText xml:space="preserve"> HYPERLINK \l _Toc21467 </w:instrText>
          </w:r>
          <w:r>
            <w:fldChar w:fldCharType="separate"/>
          </w:r>
          <w:r>
            <w:rPr>
              <w:rFonts w:hint="eastAsia" w:ascii="仿宋" w:hAnsi="仿宋" w:eastAsia="仿宋" w:cs="仿宋"/>
              <w:bCs/>
            </w:rPr>
            <w:t>六、一般公共预算</w:t>
          </w:r>
          <w:r>
            <w:tab/>
          </w:r>
          <w:r>
            <w:rPr>
              <w:rFonts w:hint="eastAsia"/>
              <w:lang w:val="en-US" w:eastAsia="zh-CN"/>
            </w:rPr>
            <w:t>8</w:t>
          </w:r>
          <w:r>
            <w:fldChar w:fldCharType="end"/>
          </w:r>
          <w:r>
            <w:rPr>
              <w:rFonts w:hint="eastAsia"/>
              <w:lang w:val="en-US" w:eastAsia="zh-CN"/>
            </w:rPr>
            <w:t>1</w:t>
          </w:r>
        </w:p>
        <w:p w14:paraId="372922E3">
          <w:pPr>
            <w:pStyle w:val="10"/>
            <w:tabs>
              <w:tab w:val="right" w:leader="dot" w:pos="8306"/>
            </w:tabs>
            <w:rPr>
              <w:rFonts w:hint="eastAsia" w:eastAsia="宋体"/>
              <w:lang w:val="en-US" w:eastAsia="zh-CN"/>
            </w:rPr>
          </w:pPr>
          <w:r>
            <w:fldChar w:fldCharType="begin"/>
          </w:r>
          <w:r>
            <w:instrText xml:space="preserve"> HYPERLINK \l _Toc5330 </w:instrText>
          </w:r>
          <w:r>
            <w:fldChar w:fldCharType="separate"/>
          </w:r>
          <w:r>
            <w:rPr>
              <w:rFonts w:hint="eastAsia" w:ascii="仿宋" w:hAnsi="仿宋" w:eastAsia="仿宋" w:cs="仿宋"/>
              <w:bCs/>
            </w:rPr>
            <w:t>财政拨款支出决算表</w:t>
          </w:r>
          <w:r>
            <w:tab/>
          </w:r>
          <w:r>
            <w:rPr>
              <w:rFonts w:hint="eastAsia"/>
              <w:lang w:val="en-US" w:eastAsia="zh-CN"/>
            </w:rPr>
            <w:t>8</w:t>
          </w:r>
          <w:r>
            <w:fldChar w:fldCharType="end"/>
          </w:r>
          <w:r>
            <w:rPr>
              <w:rFonts w:hint="eastAsia"/>
              <w:lang w:val="en-US" w:eastAsia="zh-CN"/>
            </w:rPr>
            <w:t>1</w:t>
          </w:r>
        </w:p>
        <w:p w14:paraId="7776B003">
          <w:pPr>
            <w:pStyle w:val="10"/>
            <w:tabs>
              <w:tab w:val="right" w:leader="dot" w:pos="8306"/>
            </w:tabs>
            <w:rPr>
              <w:rFonts w:hint="eastAsia" w:eastAsia="宋体"/>
              <w:lang w:val="en-US" w:eastAsia="zh-CN"/>
            </w:rPr>
          </w:pPr>
          <w:r>
            <w:fldChar w:fldCharType="begin"/>
          </w:r>
          <w:r>
            <w:instrText xml:space="preserve"> HYPERLINK \l _Toc28153 </w:instrText>
          </w:r>
          <w:r>
            <w:fldChar w:fldCharType="separate"/>
          </w:r>
          <w:r>
            <w:rPr>
              <w:rFonts w:hint="eastAsia" w:ascii="仿宋" w:hAnsi="仿宋" w:eastAsia="仿宋" w:cs="仿宋"/>
              <w:bCs/>
            </w:rPr>
            <w:t>七、一般公共预算财政拨款支出决算明细表</w:t>
          </w:r>
          <w:r>
            <w:tab/>
          </w:r>
          <w:r>
            <w:rPr>
              <w:rFonts w:hint="eastAsia"/>
              <w:lang w:val="en-US" w:eastAsia="zh-CN"/>
            </w:rPr>
            <w:t>8</w:t>
          </w:r>
          <w:r>
            <w:fldChar w:fldCharType="end"/>
          </w:r>
          <w:r>
            <w:rPr>
              <w:rFonts w:hint="eastAsia"/>
              <w:lang w:val="en-US" w:eastAsia="zh-CN"/>
            </w:rPr>
            <w:t>1</w:t>
          </w:r>
        </w:p>
        <w:p w14:paraId="785848B7">
          <w:pPr>
            <w:pStyle w:val="10"/>
            <w:tabs>
              <w:tab w:val="right" w:leader="dot" w:pos="8306"/>
            </w:tabs>
            <w:rPr>
              <w:rFonts w:hint="eastAsia" w:eastAsia="宋体"/>
              <w:lang w:val="en-US" w:eastAsia="zh-CN"/>
            </w:rPr>
          </w:pPr>
          <w:r>
            <w:fldChar w:fldCharType="begin"/>
          </w:r>
          <w:r>
            <w:instrText xml:space="preserve"> HYPERLINK \l _Toc15954 </w:instrText>
          </w:r>
          <w:r>
            <w:fldChar w:fldCharType="separate"/>
          </w:r>
          <w:r>
            <w:rPr>
              <w:rFonts w:hint="eastAsia" w:ascii="仿宋" w:hAnsi="仿宋" w:eastAsia="仿宋" w:cs="仿宋"/>
              <w:bCs/>
            </w:rPr>
            <w:t>八、一般公共预算财政拨款基本支出决算表</w:t>
          </w:r>
          <w:r>
            <w:tab/>
          </w:r>
          <w:r>
            <w:rPr>
              <w:rFonts w:hint="eastAsia"/>
              <w:lang w:val="en-US" w:eastAsia="zh-CN"/>
            </w:rPr>
            <w:t>8</w:t>
          </w:r>
          <w:r>
            <w:fldChar w:fldCharType="end"/>
          </w:r>
          <w:r>
            <w:rPr>
              <w:rFonts w:hint="eastAsia"/>
              <w:lang w:val="en-US" w:eastAsia="zh-CN"/>
            </w:rPr>
            <w:t>1</w:t>
          </w:r>
        </w:p>
        <w:p w14:paraId="793A4310">
          <w:pPr>
            <w:pStyle w:val="10"/>
            <w:tabs>
              <w:tab w:val="right" w:leader="dot" w:pos="8306"/>
            </w:tabs>
            <w:rPr>
              <w:rFonts w:hint="eastAsia" w:eastAsia="宋体"/>
              <w:lang w:val="en-US" w:eastAsia="zh-CN"/>
            </w:rPr>
          </w:pPr>
          <w:r>
            <w:fldChar w:fldCharType="begin"/>
          </w:r>
          <w:r>
            <w:instrText xml:space="preserve"> HYPERLINK \l _Toc27148 </w:instrText>
          </w:r>
          <w:r>
            <w:fldChar w:fldCharType="separate"/>
          </w:r>
          <w:r>
            <w:rPr>
              <w:rFonts w:hint="eastAsia" w:ascii="仿宋" w:hAnsi="仿宋" w:eastAsia="仿宋" w:cs="仿宋"/>
              <w:bCs/>
            </w:rPr>
            <w:t>九、一般公共预算财政拨款项目支出决算表</w:t>
          </w:r>
          <w:r>
            <w:tab/>
          </w:r>
          <w:r>
            <w:rPr>
              <w:rFonts w:hint="eastAsia"/>
              <w:lang w:val="en-US" w:eastAsia="zh-CN"/>
            </w:rPr>
            <w:t>8</w:t>
          </w:r>
          <w:r>
            <w:fldChar w:fldCharType="end"/>
          </w:r>
          <w:r>
            <w:rPr>
              <w:rFonts w:hint="eastAsia"/>
              <w:lang w:val="en-US" w:eastAsia="zh-CN"/>
            </w:rPr>
            <w:t>1</w:t>
          </w:r>
        </w:p>
        <w:p w14:paraId="440E203E">
          <w:pPr>
            <w:pStyle w:val="10"/>
            <w:tabs>
              <w:tab w:val="right" w:leader="dot" w:pos="8306"/>
            </w:tabs>
            <w:rPr>
              <w:rFonts w:hint="eastAsia" w:eastAsia="宋体"/>
              <w:lang w:val="en-US" w:eastAsia="zh-CN"/>
            </w:rPr>
          </w:pPr>
          <w:r>
            <w:fldChar w:fldCharType="begin"/>
          </w:r>
          <w:r>
            <w:instrText xml:space="preserve"> HYPERLINK \l _Toc16381 </w:instrText>
          </w:r>
          <w:r>
            <w:fldChar w:fldCharType="separate"/>
          </w:r>
          <w:r>
            <w:rPr>
              <w:rFonts w:hint="eastAsia" w:ascii="仿宋" w:hAnsi="仿宋" w:eastAsia="仿宋" w:cs="仿宋"/>
              <w:bCs/>
            </w:rPr>
            <w:t>十、政府性基金预算财政拨款收入支出决算表</w:t>
          </w:r>
          <w:r>
            <w:tab/>
          </w:r>
          <w:r>
            <w:rPr>
              <w:rFonts w:hint="eastAsia"/>
              <w:lang w:val="en-US" w:eastAsia="zh-CN"/>
            </w:rPr>
            <w:t>8</w:t>
          </w:r>
          <w:r>
            <w:fldChar w:fldCharType="end"/>
          </w:r>
          <w:r>
            <w:rPr>
              <w:rFonts w:hint="eastAsia"/>
              <w:lang w:val="en-US" w:eastAsia="zh-CN"/>
            </w:rPr>
            <w:t>1</w:t>
          </w:r>
        </w:p>
        <w:p w14:paraId="799F7719">
          <w:pPr>
            <w:pStyle w:val="10"/>
            <w:tabs>
              <w:tab w:val="right" w:leader="dot" w:pos="8306"/>
            </w:tabs>
            <w:rPr>
              <w:rFonts w:hint="eastAsia" w:eastAsia="宋体"/>
              <w:lang w:val="en-US" w:eastAsia="zh-CN"/>
            </w:rPr>
          </w:pPr>
          <w:r>
            <w:fldChar w:fldCharType="begin"/>
          </w:r>
          <w:r>
            <w:instrText xml:space="preserve"> HYPERLINK \l _Toc25721 </w:instrText>
          </w:r>
          <w:r>
            <w:fldChar w:fldCharType="separate"/>
          </w:r>
          <w:r>
            <w:rPr>
              <w:rFonts w:hint="eastAsia" w:ascii="仿宋" w:hAnsi="仿宋" w:eastAsia="仿宋" w:cs="仿宋"/>
              <w:bCs/>
            </w:rPr>
            <w:t>十一、国有资本经营预算财政拨款收入支出决算表</w:t>
          </w:r>
          <w:r>
            <w:tab/>
          </w:r>
          <w:r>
            <w:rPr>
              <w:rFonts w:hint="eastAsia"/>
              <w:lang w:val="en-US" w:eastAsia="zh-CN"/>
            </w:rPr>
            <w:t>8</w:t>
          </w:r>
          <w:r>
            <w:fldChar w:fldCharType="end"/>
          </w:r>
          <w:r>
            <w:rPr>
              <w:rFonts w:hint="eastAsia"/>
              <w:lang w:val="en-US" w:eastAsia="zh-CN"/>
            </w:rPr>
            <w:t>1</w:t>
          </w:r>
        </w:p>
        <w:p w14:paraId="6A054D91">
          <w:pPr>
            <w:pStyle w:val="10"/>
            <w:tabs>
              <w:tab w:val="right" w:leader="dot" w:pos="8306"/>
            </w:tabs>
            <w:rPr>
              <w:rFonts w:hint="eastAsia" w:eastAsia="宋体"/>
              <w:lang w:val="en-US" w:eastAsia="zh-CN"/>
            </w:rPr>
          </w:pPr>
          <w:r>
            <w:fldChar w:fldCharType="begin"/>
          </w:r>
          <w:r>
            <w:instrText xml:space="preserve"> HYPERLINK \l _Toc12045 </w:instrText>
          </w:r>
          <w:r>
            <w:fldChar w:fldCharType="separate"/>
          </w:r>
          <w:r>
            <w:rPr>
              <w:rFonts w:hint="eastAsia" w:ascii="仿宋" w:hAnsi="仿宋" w:eastAsia="仿宋" w:cs="仿宋"/>
              <w:bCs/>
            </w:rPr>
            <w:t>十二、国有资本经营预算财政拨款支出决算表</w:t>
          </w:r>
          <w:r>
            <w:tab/>
          </w:r>
          <w:r>
            <w:rPr>
              <w:rFonts w:hint="eastAsia"/>
              <w:lang w:val="en-US" w:eastAsia="zh-CN"/>
            </w:rPr>
            <w:t>8</w:t>
          </w:r>
          <w:r>
            <w:fldChar w:fldCharType="end"/>
          </w:r>
          <w:r>
            <w:rPr>
              <w:rFonts w:hint="eastAsia"/>
              <w:lang w:val="en-US" w:eastAsia="zh-CN"/>
            </w:rPr>
            <w:t>1</w:t>
          </w:r>
          <w:bookmarkStart w:id="32" w:name="_GoBack"/>
          <w:bookmarkEnd w:id="32"/>
        </w:p>
        <w:p w14:paraId="6998C478">
          <w:pPr>
            <w:pStyle w:val="10"/>
            <w:tabs>
              <w:tab w:val="right" w:leader="dot" w:pos="8306"/>
            </w:tabs>
            <w:rPr>
              <w:rFonts w:hint="eastAsia" w:eastAsia="宋体"/>
              <w:lang w:val="en-US" w:eastAsia="zh-CN"/>
            </w:rPr>
          </w:pPr>
          <w:r>
            <w:fldChar w:fldCharType="begin"/>
          </w:r>
          <w:r>
            <w:instrText xml:space="preserve"> HYPERLINK \l _Toc26222 </w:instrText>
          </w:r>
          <w:r>
            <w:fldChar w:fldCharType="separate"/>
          </w:r>
          <w:r>
            <w:rPr>
              <w:rFonts w:hint="eastAsia" w:ascii="仿宋" w:hAnsi="仿宋" w:eastAsia="仿宋" w:cs="仿宋"/>
              <w:bCs/>
            </w:rPr>
            <w:t>十三、财政拨款“三公”经费支出决算表</w:t>
          </w:r>
          <w:r>
            <w:tab/>
          </w:r>
          <w:r>
            <w:rPr>
              <w:rFonts w:hint="eastAsia"/>
              <w:lang w:val="en-US" w:eastAsia="zh-CN"/>
            </w:rPr>
            <w:t>8</w:t>
          </w:r>
          <w:r>
            <w:fldChar w:fldCharType="end"/>
          </w:r>
          <w:r>
            <w:rPr>
              <w:rFonts w:hint="eastAsia"/>
              <w:lang w:val="en-US" w:eastAsia="zh-CN"/>
            </w:rPr>
            <w:t>1</w:t>
          </w:r>
        </w:p>
        <w:p w14:paraId="418678D3">
          <w:pPr>
            <w:rPr>
              <w:rFonts w:ascii="宋体" w:hAnsi="宋体"/>
            </w:rPr>
          </w:pPr>
          <w:r>
            <w:fldChar w:fldCharType="end"/>
          </w:r>
        </w:p>
      </w:sdtContent>
    </w:sdt>
    <w:p w14:paraId="2A25364C">
      <w:pPr>
        <w:rPr>
          <w:rFonts w:ascii="宋体" w:hAnsi="宋体"/>
        </w:rPr>
      </w:pPr>
    </w:p>
    <w:p w14:paraId="607ADAAE">
      <w:pPr>
        <w:rPr>
          <w:rFonts w:ascii="宋体" w:hAnsi="宋体"/>
        </w:rPr>
      </w:pPr>
    </w:p>
    <w:p w14:paraId="57EB952C">
      <w:pPr>
        <w:rPr>
          <w:rFonts w:ascii="宋体" w:hAnsi="宋体"/>
        </w:rPr>
        <w:sectPr>
          <w:footerReference r:id="rId5" w:type="default"/>
          <w:pgSz w:w="11906" w:h="16838"/>
          <w:pgMar w:top="1440" w:right="1800" w:bottom="1440" w:left="1800" w:header="851" w:footer="992" w:gutter="0"/>
          <w:pgNumType w:start="1"/>
          <w:cols w:space="425" w:num="1"/>
          <w:docGrid w:type="lines" w:linePitch="312" w:charSpace="0"/>
        </w:sectPr>
      </w:pPr>
    </w:p>
    <w:p w14:paraId="3FF61311">
      <w:pPr>
        <w:rPr>
          <w:rFonts w:ascii="宋体" w:hAnsi="宋体"/>
        </w:rPr>
      </w:pPr>
    </w:p>
    <w:p w14:paraId="6E0F9483">
      <w:pPr>
        <w:pStyle w:val="3"/>
        <w:bidi w:val="0"/>
        <w:jc w:val="center"/>
      </w:pPr>
      <w:bookmarkStart w:id="0" w:name="_Toc28241"/>
      <w:r>
        <w:rPr>
          <w:rFonts w:hint="eastAsia"/>
        </w:rPr>
        <w:t>第一部分 部门概况</w:t>
      </w:r>
      <w:bookmarkEnd w:id="0"/>
    </w:p>
    <w:p w14:paraId="564D9761">
      <w:r>
        <w:rPr>
          <w:rFonts w:hint="eastAsia"/>
        </w:rPr>
        <w:t xml:space="preserve"> </w:t>
      </w:r>
    </w:p>
    <w:p w14:paraId="6E0C6A18">
      <w:pPr>
        <w:pStyle w:val="4"/>
        <w:bidi w:val="0"/>
      </w:pPr>
      <w:bookmarkStart w:id="1" w:name="_Toc5753"/>
      <w:r>
        <w:rPr>
          <w:rFonts w:hint="eastAsia"/>
        </w:rPr>
        <w:t>一、部门职责</w:t>
      </w:r>
      <w:bookmarkEnd w:id="1"/>
    </w:p>
    <w:p w14:paraId="2AFFA28A">
      <w:pPr>
        <w:ind w:firstLine="640" w:firstLineChars="200"/>
        <w:rPr>
          <w:rFonts w:ascii="仿宋_GB2312" w:eastAsia="仿宋_GB2312"/>
          <w:sz w:val="32"/>
          <w:szCs w:val="32"/>
        </w:rPr>
      </w:pPr>
      <w:r>
        <w:rPr>
          <w:rFonts w:hint="eastAsia" w:ascii="仿宋_GB2312" w:hAnsi="宋体" w:eastAsia="仿宋_GB2312"/>
          <w:sz w:val="32"/>
          <w:szCs w:val="32"/>
        </w:rPr>
        <w:t>广元市公安局交通管理支队一是负责全市</w:t>
      </w:r>
      <w:r>
        <w:rPr>
          <w:rFonts w:hint="eastAsia" w:ascii="仿宋_GB2312" w:eastAsia="仿宋_GB2312"/>
          <w:sz w:val="32"/>
          <w:szCs w:val="32"/>
        </w:rPr>
        <w:t>20031</w:t>
      </w:r>
      <w:r>
        <w:rPr>
          <w:rFonts w:hint="eastAsia" w:ascii="仿宋_GB2312" w:hAnsi="宋体" w:eastAsia="仿宋_GB2312"/>
          <w:sz w:val="32"/>
          <w:szCs w:val="32"/>
        </w:rPr>
        <w:t>公里道路（其中国道</w:t>
      </w:r>
      <w:r>
        <w:rPr>
          <w:rFonts w:hint="eastAsia" w:ascii="仿宋_GB2312" w:eastAsia="仿宋_GB2312"/>
          <w:sz w:val="32"/>
          <w:szCs w:val="32"/>
        </w:rPr>
        <w:t>684</w:t>
      </w:r>
      <w:r>
        <w:rPr>
          <w:rFonts w:hint="eastAsia" w:ascii="仿宋_GB2312" w:hAnsi="宋体" w:eastAsia="仿宋_GB2312"/>
          <w:sz w:val="32"/>
          <w:szCs w:val="32"/>
        </w:rPr>
        <w:t>公里、省道</w:t>
      </w:r>
      <w:r>
        <w:rPr>
          <w:rFonts w:hint="eastAsia" w:ascii="仿宋_GB2312" w:eastAsia="仿宋_GB2312"/>
          <w:sz w:val="32"/>
          <w:szCs w:val="32"/>
        </w:rPr>
        <w:t>1337</w:t>
      </w:r>
      <w:r>
        <w:rPr>
          <w:rFonts w:hint="eastAsia" w:ascii="仿宋_GB2312" w:hAnsi="宋体" w:eastAsia="仿宋_GB2312"/>
          <w:sz w:val="32"/>
          <w:szCs w:val="32"/>
        </w:rPr>
        <w:t>公里、县道</w:t>
      </w:r>
      <w:r>
        <w:rPr>
          <w:rFonts w:hint="eastAsia" w:ascii="仿宋_GB2312" w:eastAsia="仿宋_GB2312"/>
          <w:sz w:val="32"/>
          <w:szCs w:val="32"/>
        </w:rPr>
        <w:t>3017</w:t>
      </w:r>
      <w:r>
        <w:rPr>
          <w:rFonts w:hint="eastAsia" w:ascii="仿宋_GB2312" w:hAnsi="宋体" w:eastAsia="仿宋_GB2312"/>
          <w:sz w:val="32"/>
          <w:szCs w:val="32"/>
        </w:rPr>
        <w:t>公里、乡道</w:t>
      </w:r>
      <w:r>
        <w:rPr>
          <w:rFonts w:hint="eastAsia" w:ascii="仿宋_GB2312" w:eastAsia="仿宋_GB2312"/>
          <w:sz w:val="32"/>
          <w:szCs w:val="32"/>
        </w:rPr>
        <w:t>2445</w:t>
      </w:r>
      <w:r>
        <w:rPr>
          <w:rFonts w:hint="eastAsia" w:ascii="仿宋_GB2312" w:hAnsi="宋体" w:eastAsia="仿宋_GB2312"/>
          <w:sz w:val="32"/>
          <w:szCs w:val="32"/>
        </w:rPr>
        <w:t>公里、村道</w:t>
      </w:r>
      <w:r>
        <w:rPr>
          <w:rFonts w:hint="eastAsia" w:ascii="仿宋_GB2312" w:eastAsia="仿宋_GB2312"/>
          <w:sz w:val="32"/>
          <w:szCs w:val="32"/>
        </w:rPr>
        <w:t>12155</w:t>
      </w:r>
      <w:r>
        <w:rPr>
          <w:rFonts w:hint="eastAsia" w:ascii="仿宋_GB2312" w:hAnsi="宋体" w:eastAsia="仿宋_GB2312"/>
          <w:sz w:val="32"/>
          <w:szCs w:val="32"/>
        </w:rPr>
        <w:t>公里、专用道</w:t>
      </w:r>
      <w:r>
        <w:rPr>
          <w:rFonts w:hint="eastAsia" w:ascii="仿宋_GB2312" w:eastAsia="仿宋_GB2312"/>
          <w:sz w:val="32"/>
          <w:szCs w:val="32"/>
        </w:rPr>
        <w:t>393</w:t>
      </w:r>
      <w:r>
        <w:rPr>
          <w:rFonts w:hint="eastAsia" w:ascii="仿宋_GB2312" w:hAnsi="宋体" w:eastAsia="仿宋_GB2312"/>
          <w:sz w:val="32"/>
          <w:szCs w:val="32"/>
        </w:rPr>
        <w:t>公里）交通安全管理，纠正交通违章，维护交通秩序，处理突发事件，配合开展警卫工作。二是负责全市机动车及非机动车注册登记、核发牌证、过户、转籍等工作；三是负责全市机动车驾驶人考试及驾驶证的核发、补发等工作；四是负责交通事故责任认定、交通安全宣传以及参与道路交通管理工作规划。</w:t>
      </w:r>
    </w:p>
    <w:p w14:paraId="4EA38AE2">
      <w:pPr>
        <w:pStyle w:val="4"/>
        <w:bidi w:val="0"/>
      </w:pPr>
      <w:bookmarkStart w:id="2" w:name="_Toc8284"/>
      <w:r>
        <w:rPr>
          <w:rFonts w:hint="eastAsia"/>
        </w:rPr>
        <w:t>二、机构设置</w:t>
      </w:r>
      <w:bookmarkEnd w:id="2"/>
    </w:p>
    <w:p w14:paraId="50D4DAAB">
      <w:pPr>
        <w:ind w:firstLine="640" w:firstLineChars="200"/>
        <w:rPr>
          <w:rFonts w:ascii="仿宋_GB2312" w:eastAsia="仿宋_GB2312"/>
          <w:sz w:val="32"/>
          <w:szCs w:val="32"/>
        </w:rPr>
      </w:pPr>
      <w:r>
        <w:rPr>
          <w:rFonts w:hint="eastAsia" w:ascii="仿宋_GB2312" w:hAnsi="宋体" w:eastAsia="仿宋_GB2312"/>
          <w:sz w:val="32"/>
          <w:szCs w:val="32"/>
        </w:rPr>
        <w:t>交警支队下属二级预算单位</w:t>
      </w:r>
      <w:r>
        <w:rPr>
          <w:rFonts w:hint="eastAsia" w:ascii="仿宋_GB2312" w:eastAsia="仿宋_GB2312"/>
          <w:sz w:val="32"/>
          <w:szCs w:val="32"/>
        </w:rPr>
        <w:t>0</w:t>
      </w:r>
      <w:r>
        <w:rPr>
          <w:rFonts w:hint="eastAsia" w:ascii="仿宋_GB2312" w:hAnsi="宋体" w:eastAsia="仿宋_GB2312"/>
          <w:sz w:val="32"/>
          <w:szCs w:val="32"/>
        </w:rPr>
        <w:t>个，下设交警一大队、二大队、三大队、四大队、特勤大队和办公室、政工科、事故科、秩序科、宣法科、指挥中心、车管所、非机所等</w:t>
      </w:r>
      <w:r>
        <w:rPr>
          <w:rFonts w:hint="eastAsia" w:ascii="仿宋_GB2312" w:eastAsia="仿宋_GB2312"/>
          <w:sz w:val="32"/>
          <w:szCs w:val="32"/>
        </w:rPr>
        <w:t>13</w:t>
      </w:r>
      <w:r>
        <w:rPr>
          <w:rFonts w:hint="eastAsia" w:ascii="仿宋_GB2312" w:hAnsi="宋体" w:eastAsia="仿宋_GB2312"/>
          <w:sz w:val="32"/>
          <w:szCs w:val="32"/>
        </w:rPr>
        <w:t>个正科级单位；业务指导和监督苍溪、剑阁、旺苍、青川、元坝、朝天六个县区交警大队，本年机构情况无变化。</w:t>
      </w:r>
    </w:p>
    <w:p w14:paraId="529C5B49">
      <w:r>
        <w:rPr>
          <w:rFonts w:hint="eastAsia"/>
        </w:rPr>
        <w:t xml:space="preserve"> </w:t>
      </w:r>
    </w:p>
    <w:p w14:paraId="40B182C6"/>
    <w:p w14:paraId="7FAFC60B"/>
    <w:p w14:paraId="16A5CF3F"/>
    <w:p w14:paraId="5050C03A"/>
    <w:p w14:paraId="445B6DA5"/>
    <w:p w14:paraId="2EA4C184"/>
    <w:p w14:paraId="49C3C4B1"/>
    <w:p w14:paraId="170F866A"/>
    <w:p w14:paraId="5F015044"/>
    <w:p w14:paraId="10713218">
      <w:pPr>
        <w:pStyle w:val="3"/>
        <w:bidi w:val="0"/>
        <w:jc w:val="center"/>
      </w:pPr>
      <w:bookmarkStart w:id="3" w:name="_Toc16849"/>
      <w:r>
        <w:rPr>
          <w:rFonts w:hint="eastAsia"/>
        </w:rPr>
        <w:t>第二部分 2024年度部门决算情况说明</w:t>
      </w:r>
      <w:bookmarkEnd w:id="3"/>
    </w:p>
    <w:p w14:paraId="5AB33195">
      <w:pPr>
        <w:jc w:val="center"/>
      </w:pPr>
    </w:p>
    <w:p w14:paraId="18AD63B2">
      <w:pPr>
        <w:pStyle w:val="4"/>
        <w:bidi w:val="0"/>
      </w:pPr>
      <w:bookmarkStart w:id="4" w:name="_Toc3468"/>
      <w:r>
        <w:rPr>
          <w:rFonts w:hint="eastAsia"/>
        </w:rPr>
        <w:t>一、收入支出决算总体情况说明</w:t>
      </w:r>
      <w:bookmarkEnd w:id="4"/>
    </w:p>
    <w:p w14:paraId="5730F847">
      <w:pPr>
        <w:ind w:firstLine="640" w:firstLineChars="200"/>
        <w:rPr>
          <w:rFonts w:ascii="仿宋_GB2312" w:eastAsia="仿宋_GB2312"/>
          <w:sz w:val="32"/>
          <w:szCs w:val="32"/>
        </w:rPr>
      </w:pPr>
      <w:r>
        <w:rPr>
          <w:rFonts w:hint="eastAsia" w:ascii="仿宋_GB2312" w:eastAsia="仿宋_GB2312"/>
          <w:sz w:val="32"/>
          <w:szCs w:val="32"/>
        </w:rPr>
        <w:t>2024</w:t>
      </w:r>
      <w:r>
        <w:rPr>
          <w:rFonts w:hint="eastAsia" w:ascii="仿宋_GB2312" w:hAnsi="宋体" w:eastAsia="仿宋_GB2312"/>
          <w:sz w:val="32"/>
          <w:szCs w:val="32"/>
        </w:rPr>
        <w:t>年度收、支总计均为</w:t>
      </w:r>
      <w:r>
        <w:rPr>
          <w:rFonts w:hint="eastAsia" w:ascii="仿宋_GB2312" w:eastAsia="仿宋_GB2312"/>
          <w:sz w:val="32"/>
          <w:szCs w:val="32"/>
        </w:rPr>
        <w:t>10184.26</w:t>
      </w:r>
      <w:r>
        <w:rPr>
          <w:rFonts w:hint="eastAsia" w:ascii="仿宋_GB2312" w:hAnsi="宋体" w:eastAsia="仿宋_GB2312"/>
          <w:sz w:val="32"/>
          <w:szCs w:val="32"/>
        </w:rPr>
        <w:t>万元。与</w:t>
      </w:r>
      <w:r>
        <w:rPr>
          <w:rFonts w:hint="eastAsia" w:ascii="仿宋_GB2312" w:eastAsia="仿宋_GB2312"/>
          <w:sz w:val="32"/>
          <w:szCs w:val="32"/>
        </w:rPr>
        <w:t>2023</w:t>
      </w:r>
      <w:r>
        <w:rPr>
          <w:rFonts w:hint="eastAsia" w:ascii="仿宋_GB2312" w:hAnsi="宋体" w:eastAsia="仿宋_GB2312"/>
          <w:sz w:val="32"/>
          <w:szCs w:val="32"/>
        </w:rPr>
        <w:t>年度相比，收、支总计各增加</w:t>
      </w:r>
      <w:r>
        <w:rPr>
          <w:rFonts w:hint="eastAsia" w:ascii="仿宋_GB2312" w:eastAsia="仿宋_GB2312"/>
          <w:sz w:val="32"/>
          <w:szCs w:val="32"/>
        </w:rPr>
        <w:t>498.56</w:t>
      </w:r>
      <w:r>
        <w:rPr>
          <w:rFonts w:hint="eastAsia" w:ascii="仿宋_GB2312" w:hAnsi="宋体" w:eastAsia="仿宋_GB2312"/>
          <w:sz w:val="32"/>
          <w:szCs w:val="32"/>
        </w:rPr>
        <w:t>万元，增长</w:t>
      </w:r>
      <w:r>
        <w:rPr>
          <w:rFonts w:hint="eastAsia" w:ascii="仿宋_GB2312" w:eastAsia="仿宋_GB2312"/>
          <w:sz w:val="32"/>
          <w:szCs w:val="32"/>
        </w:rPr>
        <w:t>5.15%</w:t>
      </w:r>
      <w:r>
        <w:rPr>
          <w:rFonts w:hint="eastAsia" w:ascii="仿宋_GB2312" w:hAnsi="宋体" w:eastAsia="仿宋_GB2312"/>
          <w:sz w:val="32"/>
          <w:szCs w:val="32"/>
        </w:rPr>
        <w:t>。主要变动原因一是上年度部分项目因资金计划下达较迟，结转了部分项目资金至</w:t>
      </w:r>
      <w:r>
        <w:rPr>
          <w:rFonts w:hint="eastAsia" w:ascii="仿宋_GB2312" w:eastAsia="仿宋_GB2312"/>
          <w:sz w:val="32"/>
          <w:szCs w:val="32"/>
        </w:rPr>
        <w:t>2024</w:t>
      </w:r>
      <w:r>
        <w:rPr>
          <w:rFonts w:hint="eastAsia" w:ascii="仿宋_GB2312" w:hAnsi="宋体" w:eastAsia="仿宋_GB2312"/>
          <w:sz w:val="32"/>
          <w:szCs w:val="32"/>
        </w:rPr>
        <w:t>年；二是协警人员经费提标。</w:t>
      </w:r>
    </w:p>
    <w:p w14:paraId="54AE4330">
      <w:r>
        <w:drawing>
          <wp:inline distT="0" distB="0" distL="0" distR="0">
            <wp:extent cx="5372100" cy="2314575"/>
            <wp:effectExtent l="0" t="0" r="0" b="95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7185CBD">
      <w:pPr>
        <w:jc w:val="center"/>
      </w:pPr>
      <w:r>
        <w:rPr>
          <w:rFonts w:hint="eastAsia" w:ascii="仿宋_GB2312" w:eastAsia="仿宋_GB2312"/>
          <w:sz w:val="32"/>
          <w:szCs w:val="32"/>
        </w:rPr>
        <w:t>（图1：收、支决算总计变动情况图）</w:t>
      </w:r>
    </w:p>
    <w:p w14:paraId="49295B20">
      <w:pPr>
        <w:pStyle w:val="4"/>
        <w:bidi w:val="0"/>
      </w:pPr>
      <w:bookmarkStart w:id="5" w:name="_Toc4540"/>
      <w:r>
        <w:rPr>
          <w:rFonts w:hint="eastAsia"/>
        </w:rPr>
        <w:t>二、收入决算情况说明</w:t>
      </w:r>
      <w:bookmarkEnd w:id="5"/>
    </w:p>
    <w:p w14:paraId="35F7793A">
      <w:pPr>
        <w:ind w:firstLine="640" w:firstLineChars="200"/>
        <w:rPr>
          <w:rFonts w:ascii="仿宋_GB2312" w:eastAsia="仿宋_GB2312"/>
          <w:sz w:val="32"/>
          <w:szCs w:val="32"/>
        </w:rPr>
      </w:pPr>
      <w:r>
        <w:rPr>
          <w:rFonts w:hint="eastAsia" w:ascii="仿宋_GB2312" w:eastAsia="仿宋_GB2312"/>
          <w:sz w:val="32"/>
          <w:szCs w:val="32"/>
        </w:rPr>
        <w:t>2024年度本年收入合计10184.26万元，其中：一般公共预算财政拨款收入10107.22万元，占99.24%；其他收入77.03万元，占0.75%。</w:t>
      </w:r>
    </w:p>
    <w:p w14:paraId="5AD24173">
      <w:pPr>
        <w:ind w:firstLine="420" w:firstLineChars="200"/>
      </w:pPr>
      <w:r>
        <w:rPr>
          <w:rFonts w:hint="eastAsia"/>
        </w:rPr>
        <w:drawing>
          <wp:inline distT="0" distB="0" distL="0" distR="0">
            <wp:extent cx="5419725" cy="1981200"/>
            <wp:effectExtent l="0" t="0" r="9525"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E6464C9">
      <w:pPr>
        <w:jc w:val="center"/>
        <w:rPr>
          <w:rFonts w:ascii="仿宋_GB2312" w:eastAsia="仿宋_GB2312"/>
          <w:sz w:val="32"/>
          <w:szCs w:val="32"/>
        </w:rPr>
      </w:pPr>
      <w:r>
        <w:rPr>
          <w:rFonts w:hint="eastAsia" w:ascii="仿宋_GB2312" w:eastAsia="仿宋_GB2312"/>
          <w:sz w:val="32"/>
          <w:szCs w:val="32"/>
        </w:rPr>
        <w:t>（图</w:t>
      </w:r>
      <w:r>
        <w:rPr>
          <w:rFonts w:hint="eastAsia" w:eastAsia="仿宋_GB2312"/>
          <w:sz w:val="32"/>
          <w:szCs w:val="32"/>
        </w:rPr>
        <w:t>2</w:t>
      </w:r>
      <w:r>
        <w:rPr>
          <w:rFonts w:hint="eastAsia" w:ascii="仿宋_GB2312" w:eastAsia="仿宋_GB2312"/>
          <w:sz w:val="32"/>
          <w:szCs w:val="32"/>
        </w:rPr>
        <w:t>：收入决算结构图）</w:t>
      </w:r>
    </w:p>
    <w:p w14:paraId="1AFAF4BA">
      <w:pPr>
        <w:pStyle w:val="4"/>
        <w:bidi w:val="0"/>
      </w:pPr>
      <w:bookmarkStart w:id="6" w:name="_Toc10231"/>
      <w:r>
        <w:rPr>
          <w:rFonts w:hint="eastAsia"/>
        </w:rPr>
        <w:t>三、支出决算情况说明</w:t>
      </w:r>
      <w:bookmarkEnd w:id="6"/>
    </w:p>
    <w:p w14:paraId="6CA4DB4B">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2024年度本年支出合计10184.26万元，其中：基本支出8320.67万元，占81.7%；项目支出1863.59万元，占18.29%；</w:t>
      </w:r>
    </w:p>
    <w:p w14:paraId="3460577D">
      <w:pPr>
        <w:rPr>
          <w:rFonts w:ascii="Times New Roman" w:hAnsi="Times New Roman"/>
        </w:rPr>
      </w:pPr>
      <w:r>
        <w:rPr>
          <w:rFonts w:hint="eastAsia" w:ascii="Times New Roman" w:hAnsi="Times New Roman"/>
        </w:rPr>
        <w:drawing>
          <wp:inline distT="0" distB="0" distL="0" distR="0">
            <wp:extent cx="5591175" cy="2781300"/>
            <wp:effectExtent l="0" t="0" r="9525"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A7F0EF5">
      <w:pPr>
        <w:jc w:val="center"/>
        <w:rPr>
          <w:rFonts w:ascii="Times New Roman" w:hAnsi="Times New Roman"/>
        </w:rPr>
      </w:pPr>
      <w:r>
        <w:rPr>
          <w:rFonts w:hint="eastAsia" w:ascii="仿宋_GB2312" w:eastAsia="仿宋_GB2312"/>
          <w:sz w:val="32"/>
          <w:szCs w:val="32"/>
        </w:rPr>
        <w:t>（图</w:t>
      </w:r>
      <w:r>
        <w:rPr>
          <w:rFonts w:hint="eastAsia" w:eastAsia="仿宋_GB2312"/>
          <w:sz w:val="32"/>
          <w:szCs w:val="32"/>
        </w:rPr>
        <w:t>3</w:t>
      </w:r>
      <w:r>
        <w:rPr>
          <w:rFonts w:hint="eastAsia" w:ascii="仿宋_GB2312" w:eastAsia="仿宋_GB2312"/>
          <w:sz w:val="32"/>
          <w:szCs w:val="32"/>
        </w:rPr>
        <w:t>：支出决算结构图）</w:t>
      </w:r>
    </w:p>
    <w:p w14:paraId="0C9F6DC2">
      <w:pPr>
        <w:pStyle w:val="4"/>
        <w:bidi w:val="0"/>
      </w:pPr>
      <w:bookmarkStart w:id="7" w:name="_Toc12820"/>
      <w:r>
        <w:rPr>
          <w:rFonts w:hint="eastAsia"/>
        </w:rPr>
        <w:t>四、财政拨款收入支出决算总体情况说明</w:t>
      </w:r>
      <w:bookmarkEnd w:id="7"/>
    </w:p>
    <w:p w14:paraId="16FB2B32">
      <w:pPr>
        <w:ind w:firstLine="640" w:firstLineChars="200"/>
        <w:rPr>
          <w:rFonts w:ascii="仿宋_GB2312" w:eastAsia="仿宋_GB2312"/>
          <w:sz w:val="32"/>
          <w:szCs w:val="32"/>
        </w:rPr>
      </w:pPr>
      <w:r>
        <w:rPr>
          <w:rFonts w:hint="eastAsia" w:ascii="仿宋_GB2312" w:eastAsia="仿宋_GB2312"/>
          <w:sz w:val="32"/>
          <w:szCs w:val="32"/>
        </w:rPr>
        <w:t>2024年度财政拨款收入、支出总计均为10107.22万元。与2023年度相比，财政拨款收入总计、支出总计各增加455.64万元，增长4.72%。主要变动原因</w:t>
      </w:r>
      <w:r>
        <w:rPr>
          <w:rFonts w:hint="eastAsia" w:ascii="仿宋_GB2312" w:hAnsi="宋体" w:eastAsia="仿宋_GB2312"/>
          <w:sz w:val="32"/>
          <w:szCs w:val="32"/>
        </w:rPr>
        <w:t>一是上年度部分项目因资金计划下达较迟，结转了部分项目资金至</w:t>
      </w:r>
      <w:r>
        <w:rPr>
          <w:rFonts w:hint="eastAsia" w:ascii="仿宋_GB2312" w:eastAsia="仿宋_GB2312"/>
          <w:sz w:val="32"/>
          <w:szCs w:val="32"/>
        </w:rPr>
        <w:t>2024</w:t>
      </w:r>
      <w:r>
        <w:rPr>
          <w:rFonts w:hint="eastAsia" w:ascii="仿宋_GB2312" w:hAnsi="宋体" w:eastAsia="仿宋_GB2312"/>
          <w:sz w:val="32"/>
          <w:szCs w:val="32"/>
        </w:rPr>
        <w:t>年；二是协警人员经费提标。</w:t>
      </w:r>
    </w:p>
    <w:p w14:paraId="2F2193EE">
      <w:pPr>
        <w:ind w:firstLine="420" w:firstLineChars="200"/>
      </w:pPr>
      <w:r>
        <w:drawing>
          <wp:inline distT="0" distB="0" distL="0" distR="0">
            <wp:extent cx="5362575" cy="2562225"/>
            <wp:effectExtent l="0" t="0" r="9525"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F2BC13F">
      <w:pPr>
        <w:ind w:firstLine="640" w:firstLineChars="200"/>
        <w:jc w:val="center"/>
        <w:rPr>
          <w:rFonts w:ascii="仿宋_GB2312" w:eastAsia="仿宋_GB2312"/>
          <w:sz w:val="32"/>
          <w:szCs w:val="32"/>
        </w:rPr>
      </w:pPr>
      <w:r>
        <w:rPr>
          <w:rFonts w:hint="eastAsia" w:ascii="仿宋_GB2312" w:eastAsia="仿宋_GB2312"/>
          <w:sz w:val="32"/>
          <w:szCs w:val="32"/>
        </w:rPr>
        <w:t>（图4：财政拨款收、支决算总计变动情况）</w:t>
      </w:r>
    </w:p>
    <w:p w14:paraId="4FB61556">
      <w:pPr>
        <w:pStyle w:val="4"/>
        <w:bidi w:val="0"/>
      </w:pPr>
      <w:bookmarkStart w:id="8" w:name="_Toc19908"/>
      <w:r>
        <w:rPr>
          <w:rFonts w:hint="eastAsia"/>
        </w:rPr>
        <w:t>五、一般公共预算财政拨款支出决算情况说明</w:t>
      </w:r>
      <w:bookmarkEnd w:id="8"/>
    </w:p>
    <w:p w14:paraId="2A6D1158">
      <w:pPr>
        <w:ind w:firstLine="640" w:firstLineChars="200"/>
        <w:rPr>
          <w:rFonts w:ascii="仿宋_GB2312" w:eastAsia="仿宋_GB2312"/>
          <w:sz w:val="32"/>
          <w:szCs w:val="32"/>
        </w:rPr>
      </w:pPr>
      <w:r>
        <w:rPr>
          <w:rFonts w:hint="eastAsia" w:ascii="仿宋_GB2312" w:eastAsia="仿宋_GB2312"/>
          <w:sz w:val="32"/>
          <w:szCs w:val="32"/>
        </w:rPr>
        <w:t>（一）一般公共预算财政拨款支出决算总体情况</w:t>
      </w:r>
    </w:p>
    <w:p w14:paraId="062931A9">
      <w:pPr>
        <w:ind w:firstLine="640" w:firstLineChars="200"/>
        <w:rPr>
          <w:rFonts w:ascii="仿宋_GB2312" w:hAnsi="宋体" w:eastAsia="仿宋_GB2312"/>
          <w:sz w:val="32"/>
          <w:szCs w:val="32"/>
        </w:rPr>
      </w:pPr>
      <w:r>
        <w:rPr>
          <w:rFonts w:hint="eastAsia" w:ascii="仿宋_GB2312" w:eastAsia="仿宋_GB2312"/>
          <w:sz w:val="32"/>
          <w:szCs w:val="32"/>
        </w:rPr>
        <w:t>2024年度一般公共预算财政拨款支出10107.22万元，占本年支出合计的99.24%。与2023年度相比，一般公共预算财政拨款支出增加884.1万元，增长9.58%。主要变动原因</w:t>
      </w:r>
      <w:r>
        <w:rPr>
          <w:rFonts w:hint="eastAsia" w:ascii="仿宋_GB2312" w:hAnsi="宋体" w:eastAsia="仿宋_GB2312"/>
          <w:sz w:val="32"/>
          <w:szCs w:val="32"/>
        </w:rPr>
        <w:t>一是上年度部分项目因资金计划下达较迟，结转了部分项目资金至</w:t>
      </w:r>
      <w:r>
        <w:rPr>
          <w:rFonts w:hint="eastAsia" w:ascii="仿宋_GB2312" w:eastAsia="仿宋_GB2312"/>
          <w:sz w:val="32"/>
          <w:szCs w:val="32"/>
        </w:rPr>
        <w:t>2024</w:t>
      </w:r>
      <w:r>
        <w:rPr>
          <w:rFonts w:hint="eastAsia" w:ascii="仿宋_GB2312" w:hAnsi="宋体" w:eastAsia="仿宋_GB2312"/>
          <w:sz w:val="32"/>
          <w:szCs w:val="32"/>
        </w:rPr>
        <w:t>年；二是协警人员经费提标。</w:t>
      </w:r>
    </w:p>
    <w:p w14:paraId="451C6091">
      <w:pPr>
        <w:ind w:firstLine="420" w:firstLineChars="200"/>
        <w:rPr>
          <w:rFonts w:ascii="宋体" w:hAnsi="宋体"/>
        </w:rPr>
      </w:pPr>
      <w:r>
        <w:rPr>
          <w:rFonts w:ascii="宋体" w:hAnsi="宋体"/>
        </w:rPr>
        <w:drawing>
          <wp:inline distT="0" distB="0" distL="0" distR="0">
            <wp:extent cx="5334000" cy="2771775"/>
            <wp:effectExtent l="0" t="0" r="0"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FF746A9">
      <w:pPr>
        <w:ind w:firstLine="640" w:firstLineChars="200"/>
        <w:rPr>
          <w:rFonts w:ascii="仿宋_GB2312" w:eastAsia="仿宋_GB2312"/>
          <w:sz w:val="32"/>
          <w:szCs w:val="32"/>
        </w:rPr>
      </w:pPr>
      <w:r>
        <w:rPr>
          <w:rFonts w:hint="eastAsia" w:ascii="仿宋_GB2312" w:eastAsia="仿宋_GB2312"/>
          <w:sz w:val="32"/>
          <w:szCs w:val="32"/>
        </w:rPr>
        <w:t>（图5：一般公共预算财政拨款支出决算变动情况）</w:t>
      </w:r>
    </w:p>
    <w:p w14:paraId="5FE40ED2">
      <w:pPr>
        <w:ind w:firstLine="640" w:firstLineChars="200"/>
        <w:rPr>
          <w:rFonts w:ascii="仿宋_GB2312" w:eastAsia="仿宋_GB2312"/>
          <w:sz w:val="32"/>
          <w:szCs w:val="32"/>
        </w:rPr>
      </w:pPr>
      <w:r>
        <w:rPr>
          <w:rFonts w:hint="eastAsia" w:ascii="仿宋_GB2312" w:eastAsia="仿宋_GB2312"/>
          <w:sz w:val="32"/>
          <w:szCs w:val="32"/>
        </w:rPr>
        <w:t>（二）一般公共预算财政拨款支出决算结构情况</w:t>
      </w:r>
    </w:p>
    <w:p w14:paraId="5DA4FC1D">
      <w:pPr>
        <w:ind w:firstLine="640" w:firstLineChars="200"/>
        <w:rPr>
          <w:rFonts w:ascii="仿宋_GB2312" w:eastAsia="仿宋_GB2312"/>
          <w:sz w:val="32"/>
          <w:szCs w:val="32"/>
        </w:rPr>
      </w:pPr>
      <w:r>
        <w:rPr>
          <w:rFonts w:hint="eastAsia" w:ascii="仿宋_GB2312" w:eastAsia="仿宋_GB2312"/>
          <w:sz w:val="32"/>
          <w:szCs w:val="32"/>
        </w:rPr>
        <w:t>2024年度一般公共预算财政拨款支出10107.22万元，主要用于以下方面：公共安全支出8956.53万元，占88.62%；社会保障和就业支出581.24万元，占5.75%；卫生健康支出170.72万元，占1.69%；住房保障支出398.73万元，占3.94%；</w:t>
      </w:r>
    </w:p>
    <w:p w14:paraId="77189A33">
      <w:pPr>
        <w:ind w:firstLine="420" w:firstLineChars="200"/>
      </w:pPr>
      <w:r>
        <w:rPr>
          <w:rFonts w:hint="eastAsia"/>
        </w:rPr>
        <w:drawing>
          <wp:inline distT="0" distB="0" distL="0" distR="0">
            <wp:extent cx="5391150" cy="2876550"/>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B1C3B65">
      <w:pPr>
        <w:ind w:firstLine="640" w:firstLineChars="200"/>
        <w:rPr>
          <w:rFonts w:ascii="仿宋_GB2312" w:eastAsia="仿宋_GB2312"/>
          <w:sz w:val="32"/>
          <w:szCs w:val="32"/>
        </w:rPr>
      </w:pPr>
      <w:r>
        <w:rPr>
          <w:rFonts w:hint="eastAsia" w:ascii="仿宋_GB2312" w:eastAsia="仿宋_GB2312"/>
          <w:sz w:val="32"/>
          <w:szCs w:val="32"/>
        </w:rPr>
        <w:t>（三）一般公共预算财政拨款支出决算具体情况</w:t>
      </w:r>
    </w:p>
    <w:p w14:paraId="4D29271E">
      <w:pPr>
        <w:ind w:firstLine="640" w:firstLineChars="200"/>
        <w:rPr>
          <w:rFonts w:ascii="仿宋_GB2312" w:eastAsia="仿宋_GB2312"/>
          <w:sz w:val="32"/>
          <w:szCs w:val="32"/>
        </w:rPr>
      </w:pPr>
      <w:r>
        <w:rPr>
          <w:rFonts w:hint="eastAsia" w:ascii="仿宋_GB2312" w:eastAsia="仿宋_GB2312"/>
          <w:sz w:val="32"/>
          <w:szCs w:val="32"/>
        </w:rPr>
        <w:t>2024年度一般公共预算支出决算数为10107.22万元，完成预算100%。其中：</w:t>
      </w:r>
    </w:p>
    <w:p w14:paraId="0881050B">
      <w:pPr>
        <w:numPr>
          <w:ilvl w:val="0"/>
          <w:numId w:val="1"/>
        </w:numPr>
        <w:ind w:firstLine="640" w:firstLineChars="200"/>
        <w:rPr>
          <w:rFonts w:hint="eastAsia" w:ascii="仿宋_GB2312" w:eastAsia="仿宋_GB2312"/>
          <w:sz w:val="32"/>
          <w:szCs w:val="32"/>
        </w:rPr>
      </w:pPr>
      <w:r>
        <w:rPr>
          <w:rFonts w:hint="eastAsia" w:ascii="仿宋_GB2312" w:eastAsia="仿宋_GB2312"/>
          <w:sz w:val="32"/>
          <w:szCs w:val="32"/>
        </w:rPr>
        <w:t>公共安全支出（类)公安（款）行政运行（项）：支出决算数为3710.89万元，完成预算100%。</w:t>
      </w:r>
    </w:p>
    <w:p w14:paraId="2152468E">
      <w:pPr>
        <w:numPr>
          <w:ilvl w:val="0"/>
          <w:numId w:val="0"/>
        </w:numPr>
        <w:ind w:firstLine="640" w:firstLineChars="200"/>
        <w:rPr>
          <w:b w:val="0"/>
          <w:bCs/>
          <w:color w:val="auto"/>
          <w:highlight w:val="none"/>
        </w:rPr>
      </w:pPr>
      <w:r>
        <w:rPr>
          <w:rFonts w:hint="eastAsia" w:ascii="仿宋_GB2312" w:eastAsia="仿宋_GB2312"/>
          <w:b w:val="0"/>
          <w:bCs/>
          <w:color w:val="auto"/>
          <w:sz w:val="32"/>
          <w:szCs w:val="32"/>
          <w:highlight w:val="none"/>
          <w:lang w:val="en-US" w:eastAsia="zh-CN"/>
        </w:rPr>
        <w:t>2.</w:t>
      </w:r>
      <w:r>
        <w:rPr>
          <w:rFonts w:hint="eastAsia" w:ascii="仿宋_GB2312" w:eastAsia="仿宋_GB2312"/>
          <w:b w:val="0"/>
          <w:bCs/>
          <w:color w:val="auto"/>
          <w:sz w:val="32"/>
          <w:szCs w:val="32"/>
          <w:highlight w:val="none"/>
        </w:rPr>
        <w:t>公共安全支出（类)公安（款）</w:t>
      </w:r>
      <w:r>
        <w:rPr>
          <w:rFonts w:hint="eastAsia" w:ascii="仿宋_GB2312" w:eastAsia="仿宋_GB2312"/>
          <w:b w:val="0"/>
          <w:bCs/>
          <w:color w:val="auto"/>
          <w:sz w:val="32"/>
          <w:szCs w:val="32"/>
          <w:highlight w:val="none"/>
          <w:lang w:eastAsia="zh-CN"/>
        </w:rPr>
        <w:t>其他公安支出</w:t>
      </w:r>
      <w:r>
        <w:rPr>
          <w:rFonts w:hint="eastAsia" w:ascii="仿宋_GB2312" w:eastAsia="仿宋_GB2312"/>
          <w:b w:val="0"/>
          <w:bCs/>
          <w:color w:val="auto"/>
          <w:sz w:val="32"/>
          <w:szCs w:val="32"/>
          <w:highlight w:val="none"/>
        </w:rPr>
        <w:t>（项）：支出决算为5245.63万元，</w:t>
      </w:r>
      <w:r>
        <w:rPr>
          <w:rFonts w:hint="eastAsia" w:ascii="仿宋_GB2312" w:eastAsia="仿宋_GB2312"/>
          <w:sz w:val="32"/>
          <w:szCs w:val="32"/>
        </w:rPr>
        <w:t>完成预算100%</w:t>
      </w:r>
      <w:r>
        <w:rPr>
          <w:rFonts w:hint="eastAsia" w:ascii="仿宋_GB2312" w:eastAsia="仿宋_GB2312"/>
          <w:b w:val="0"/>
          <w:bCs/>
          <w:color w:val="auto"/>
          <w:sz w:val="32"/>
          <w:szCs w:val="32"/>
          <w:highlight w:val="none"/>
        </w:rPr>
        <w:t>。</w:t>
      </w:r>
    </w:p>
    <w:p w14:paraId="1F609956">
      <w:pPr>
        <w:numPr>
          <w:ilvl w:val="0"/>
          <w:numId w:val="0"/>
        </w:numPr>
        <w:ind w:left="0" w:leftChars="0" w:firstLine="640" w:firstLineChars="200"/>
        <w:rPr>
          <w:rFonts w:hint="eastAsia" w:ascii="仿宋_GB2312" w:eastAsia="仿宋_GB2312"/>
          <w:sz w:val="32"/>
          <w:szCs w:val="32"/>
          <w:lang w:eastAsia="zh-CN"/>
        </w:rPr>
      </w:pPr>
      <w:r>
        <w:rPr>
          <w:rFonts w:hint="eastAsia" w:ascii="仿宋_GB2312" w:hAnsi="Calibri" w:eastAsia="仿宋_GB2312" w:cs="Times New Roman"/>
          <w:kern w:val="2"/>
          <w:sz w:val="32"/>
          <w:szCs w:val="32"/>
          <w:lang w:val="en-US" w:eastAsia="zh-CN" w:bidi="ar-SA"/>
        </w:rPr>
        <w:t>3.</w:t>
      </w:r>
      <w:r>
        <w:rPr>
          <w:rFonts w:hint="eastAsia" w:ascii="仿宋_GB2312" w:eastAsia="仿宋_GB2312"/>
          <w:sz w:val="32"/>
          <w:szCs w:val="32"/>
        </w:rPr>
        <w:t>社会保障和就业支出（类）行政事业单位养老支出（款）机关事业单位基本养老保险缴费（项）</w:t>
      </w:r>
      <w:r>
        <w:rPr>
          <w:rFonts w:hint="eastAsia" w:ascii="仿宋_GB2312" w:eastAsia="仿宋_GB2312"/>
          <w:sz w:val="32"/>
          <w:szCs w:val="32"/>
          <w:lang w:eastAsia="zh-CN"/>
        </w:rPr>
        <w:t>：</w:t>
      </w:r>
      <w:r>
        <w:rPr>
          <w:rFonts w:hint="eastAsia" w:ascii="仿宋_GB2312" w:eastAsia="仿宋_GB2312"/>
          <w:sz w:val="32"/>
          <w:szCs w:val="32"/>
        </w:rPr>
        <w:t>支出决算为450.26万元，完成预算100%</w:t>
      </w:r>
      <w:r>
        <w:rPr>
          <w:rFonts w:hint="eastAsia" w:ascii="仿宋_GB2312" w:eastAsia="仿宋_GB2312"/>
          <w:sz w:val="32"/>
          <w:szCs w:val="32"/>
          <w:lang w:eastAsia="zh-CN"/>
        </w:rPr>
        <w:t>。</w:t>
      </w:r>
    </w:p>
    <w:p w14:paraId="7D24CE8E">
      <w:pPr>
        <w:numPr>
          <w:ilvl w:val="0"/>
          <w:numId w:val="0"/>
        </w:numPr>
        <w:ind w:left="0" w:leftChars="0" w:firstLine="640" w:firstLineChars="200"/>
        <w:rPr>
          <w:rFonts w:hint="eastAsia" w:eastAsia="仿宋_GB2312"/>
          <w:color w:val="FF0000"/>
          <w:highlight w:val="yellow"/>
          <w:lang w:val="en-US" w:eastAsia="zh-CN"/>
        </w:rPr>
      </w:pPr>
      <w:r>
        <w:rPr>
          <w:rFonts w:hint="eastAsia" w:ascii="仿宋_GB2312" w:eastAsia="仿宋_GB2312"/>
          <w:sz w:val="32"/>
          <w:szCs w:val="32"/>
          <w:lang w:val="en-US" w:eastAsia="zh-CN"/>
        </w:rPr>
        <w:t>4</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社会保障和就业支出（类）行政事业单位养老支出（款）</w:t>
      </w:r>
      <w:r>
        <w:rPr>
          <w:rFonts w:hint="eastAsia" w:ascii="仿宋_GB2312" w:eastAsia="仿宋_GB2312"/>
          <w:color w:val="auto"/>
          <w:sz w:val="32"/>
          <w:szCs w:val="32"/>
          <w:highlight w:val="none"/>
          <w:lang w:eastAsia="zh-CN"/>
        </w:rPr>
        <w:t>机关事业单位职业年金缴费支出</w:t>
      </w:r>
      <w:r>
        <w:rPr>
          <w:rFonts w:hint="eastAsia" w:ascii="仿宋_GB2312" w:eastAsia="仿宋_GB2312"/>
          <w:color w:val="auto"/>
          <w:sz w:val="32"/>
          <w:szCs w:val="32"/>
          <w:highlight w:val="none"/>
        </w:rPr>
        <w:t>（项）：支出</w:t>
      </w:r>
      <w:r>
        <w:rPr>
          <w:rFonts w:hint="eastAsia" w:ascii="仿宋_GB2312" w:eastAsia="仿宋_GB2312"/>
          <w:sz w:val="32"/>
          <w:szCs w:val="32"/>
        </w:rPr>
        <w:t>决算为130.98万元，完成预算100%</w:t>
      </w:r>
      <w:r>
        <w:rPr>
          <w:rFonts w:hint="eastAsia" w:ascii="仿宋_GB2312" w:eastAsia="仿宋_GB2312"/>
          <w:sz w:val="32"/>
          <w:szCs w:val="32"/>
          <w:lang w:eastAsia="zh-CN"/>
        </w:rPr>
        <w:t>。</w:t>
      </w:r>
    </w:p>
    <w:p w14:paraId="645AB4E4">
      <w:pPr>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卫生健康支出（类）行政事业单位医疗（款）行政单位医疗（项）：支出决算为170.72万元，完成预算100%。</w:t>
      </w:r>
    </w:p>
    <w:p w14:paraId="17C5A573">
      <w:pPr>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.住房保障支出（类）住房改革支出（款）住房公积金（项）：支出决算为398.73万元，完成预算100%。</w:t>
      </w:r>
    </w:p>
    <w:p w14:paraId="3139CC15">
      <w:pPr>
        <w:pStyle w:val="4"/>
        <w:bidi w:val="0"/>
        <w:rPr>
          <w:rFonts w:ascii="黑体" w:hAnsi="黑体" w:eastAsia="黑体"/>
          <w:sz w:val="32"/>
          <w:szCs w:val="32"/>
        </w:rPr>
      </w:pPr>
      <w:bookmarkStart w:id="9" w:name="_Toc11083"/>
      <w:r>
        <w:rPr>
          <w:rFonts w:hint="eastAsia" w:ascii="黑体" w:hAnsi="黑体" w:eastAsia="黑体"/>
          <w:sz w:val="32"/>
          <w:szCs w:val="32"/>
        </w:rPr>
        <w:t>六、一般公共预算财政拨款基本支出决算情况说明</w:t>
      </w:r>
      <w:bookmarkEnd w:id="9"/>
      <w:r>
        <w:rPr>
          <w:rFonts w:hint="eastAsia" w:ascii="黑体" w:hAnsi="黑体" w:eastAsia="黑体"/>
          <w:sz w:val="32"/>
          <w:szCs w:val="32"/>
        </w:rPr>
        <w:tab/>
      </w:r>
    </w:p>
    <w:p w14:paraId="59C84247">
      <w:pPr>
        <w:ind w:firstLine="640" w:firstLineChars="200"/>
        <w:rPr>
          <w:rFonts w:ascii="仿宋_GB2312" w:eastAsia="仿宋_GB2312"/>
          <w:sz w:val="32"/>
          <w:szCs w:val="32"/>
        </w:rPr>
      </w:pPr>
      <w:r>
        <w:rPr>
          <w:rFonts w:hint="eastAsia" w:ascii="仿宋_GB2312" w:eastAsia="仿宋_GB2312"/>
          <w:sz w:val="32"/>
          <w:szCs w:val="32"/>
        </w:rPr>
        <w:t>2024年度一般公共预算财政拨款基本支出8243.63万元，其中：</w:t>
      </w:r>
    </w:p>
    <w:p w14:paraId="65C52B00">
      <w:pPr>
        <w:ind w:firstLine="640" w:firstLineChars="200"/>
        <w:rPr>
          <w:rFonts w:ascii="仿宋_GB2312" w:eastAsia="仿宋_GB2312"/>
          <w:sz w:val="32"/>
          <w:szCs w:val="32"/>
        </w:rPr>
      </w:pPr>
      <w:r>
        <w:rPr>
          <w:rFonts w:hint="eastAsia" w:ascii="仿宋_GB2312" w:eastAsia="仿宋_GB2312"/>
          <w:sz w:val="32"/>
          <w:szCs w:val="32"/>
        </w:rPr>
        <w:t>人员经费4977.75万元，主要包括：基本工资、津贴补贴、奖金、伙食补助费、机关事业单位基本养老保险缴费、职业年金缴费、</w:t>
      </w:r>
      <w:r>
        <w:rPr>
          <w:rFonts w:hint="eastAsia" w:ascii="仿宋_GB2312" w:eastAsia="仿宋_GB2312"/>
          <w:sz w:val="32"/>
          <w:szCs w:val="32"/>
          <w:highlight w:val="none"/>
        </w:rPr>
        <w:t>职工基本医疗保险缴费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w:t>
      </w:r>
      <w:r>
        <w:rPr>
          <w:rFonts w:hint="eastAsia" w:ascii="仿宋_GB2312" w:eastAsia="仿宋_GB2312"/>
          <w:sz w:val="32"/>
          <w:szCs w:val="32"/>
        </w:rPr>
        <w:t>他社会保障缴费、住房公积金</w:t>
      </w:r>
      <w:r>
        <w:rPr>
          <w:rFonts w:hint="eastAsia" w:ascii="仿宋_GB2312" w:eastAsia="仿宋_GB2312"/>
          <w:sz w:val="32"/>
          <w:szCs w:val="32"/>
          <w:lang w:eastAsia="zh-CN"/>
        </w:rPr>
        <w:t>、</w:t>
      </w:r>
      <w:r>
        <w:rPr>
          <w:rFonts w:hint="eastAsia" w:ascii="仿宋_GB2312" w:eastAsia="仿宋_GB2312"/>
          <w:sz w:val="32"/>
          <w:szCs w:val="32"/>
        </w:rPr>
        <w:t>其他工资福利支出、抚恤金、生活补助、其他对个人和家庭的补助支出。</w:t>
      </w:r>
    </w:p>
    <w:p w14:paraId="03E45BF4">
      <w:pPr>
        <w:ind w:firstLine="640" w:firstLineChars="200"/>
        <w:rPr>
          <w:rFonts w:ascii="仿宋_GB2312" w:eastAsia="仿宋_GB2312"/>
          <w:sz w:val="32"/>
          <w:szCs w:val="32"/>
        </w:rPr>
      </w:pPr>
      <w:r>
        <w:rPr>
          <w:rFonts w:hint="eastAsia" w:ascii="仿宋_GB2312" w:eastAsia="仿宋_GB2312"/>
          <w:sz w:val="32"/>
          <w:szCs w:val="32"/>
        </w:rPr>
        <w:t>公用经费3265.88万元，主要包括：办公费、印刷费、手续费、水费、电费、邮电费、物业管理费、差旅费、维修（护）费、租赁费、会议费、培训费、公务接待费、劳务费、委托业务费、工会经费、福利费、公务用车运行维护费、其他交通费</w:t>
      </w:r>
      <w:r>
        <w:rPr>
          <w:rFonts w:hint="eastAsia" w:ascii="仿宋_GB2312" w:eastAsia="仿宋_GB2312"/>
          <w:sz w:val="32"/>
          <w:szCs w:val="32"/>
          <w:lang w:eastAsia="zh-CN"/>
        </w:rPr>
        <w:t>用</w:t>
      </w:r>
      <w:r>
        <w:rPr>
          <w:rFonts w:hint="eastAsia" w:ascii="仿宋_GB2312" w:eastAsia="仿宋_GB2312"/>
          <w:sz w:val="32"/>
          <w:szCs w:val="32"/>
        </w:rPr>
        <w:t>、办公设备购置。</w:t>
      </w:r>
    </w:p>
    <w:p w14:paraId="28F90773">
      <w:pPr>
        <w:pStyle w:val="4"/>
        <w:bidi w:val="0"/>
      </w:pPr>
      <w:bookmarkStart w:id="10" w:name="_Toc9438"/>
      <w:r>
        <w:rPr>
          <w:rFonts w:hint="eastAsia"/>
        </w:rPr>
        <w:t>七、财政拨款“三公”经费支出决算情况说明</w:t>
      </w:r>
      <w:bookmarkEnd w:id="10"/>
    </w:p>
    <w:p w14:paraId="16C885FD">
      <w:pPr>
        <w:ind w:firstLine="640" w:firstLineChars="200"/>
        <w:rPr>
          <w:rFonts w:ascii="仿宋_GB2312" w:eastAsia="仿宋_GB2312"/>
          <w:sz w:val="32"/>
          <w:szCs w:val="32"/>
        </w:rPr>
      </w:pPr>
      <w:r>
        <w:rPr>
          <w:rFonts w:hint="eastAsia" w:ascii="仿宋_GB2312" w:eastAsia="仿宋_GB2312"/>
          <w:sz w:val="32"/>
          <w:szCs w:val="32"/>
        </w:rPr>
        <w:t>（一）“三公”经费财政拨款支出决算总体情况说明</w:t>
      </w:r>
    </w:p>
    <w:p w14:paraId="17A3AC2F">
      <w:pPr>
        <w:ind w:firstLine="640" w:firstLineChars="200"/>
        <w:rPr>
          <w:rFonts w:ascii="仿宋_GB2312" w:eastAsia="仿宋_GB2312"/>
          <w:sz w:val="32"/>
          <w:szCs w:val="32"/>
        </w:rPr>
      </w:pPr>
      <w:r>
        <w:rPr>
          <w:rFonts w:hint="eastAsia" w:ascii="仿宋_GB2312" w:eastAsia="仿宋_GB2312"/>
          <w:sz w:val="32"/>
          <w:szCs w:val="32"/>
        </w:rPr>
        <w:t>2024年度“三公”经费财政拨款支出决算为275.17万元，完成预算100%，较上年度减少114.31万元，下降29.35%。</w:t>
      </w:r>
    </w:p>
    <w:p w14:paraId="0ECAF543">
      <w:pPr>
        <w:ind w:firstLine="640" w:firstLineChars="200"/>
        <w:rPr>
          <w:rFonts w:ascii="仿宋_GB2312" w:eastAsia="仿宋_GB2312"/>
          <w:sz w:val="32"/>
          <w:szCs w:val="32"/>
        </w:rPr>
      </w:pPr>
      <w:r>
        <w:rPr>
          <w:rFonts w:hint="eastAsia" w:ascii="仿宋_GB2312" w:eastAsia="仿宋_GB2312"/>
          <w:sz w:val="32"/>
          <w:szCs w:val="32"/>
        </w:rPr>
        <w:t>（二）“三公”经费财政拨款支出决算具体情况说明</w:t>
      </w:r>
    </w:p>
    <w:p w14:paraId="00B9CC41">
      <w:pPr>
        <w:ind w:firstLine="640" w:firstLineChars="200"/>
        <w:rPr>
          <w:rFonts w:ascii="仿宋_GB2312" w:eastAsia="仿宋_GB2312"/>
          <w:sz w:val="32"/>
          <w:szCs w:val="32"/>
        </w:rPr>
      </w:pPr>
      <w:r>
        <w:rPr>
          <w:rFonts w:hint="eastAsia" w:ascii="仿宋_GB2312" w:eastAsia="仿宋_GB2312"/>
          <w:sz w:val="32"/>
          <w:szCs w:val="32"/>
        </w:rPr>
        <w:t>2024年度“三公”经费财政拨款支出决算中，因公出国（境）费支出决算0万元，占0%；公务用车购置及运行维护费支出决算271.17万元，占98.55%；公务接待费支出决算4万元，占1.45%。具体情况如下：</w:t>
      </w:r>
    </w:p>
    <w:p w14:paraId="5EA11949">
      <w:pPr>
        <w:ind w:firstLine="420" w:firstLineChars="200"/>
      </w:pPr>
    </w:p>
    <w:p w14:paraId="085CFAFC">
      <w:pPr>
        <w:ind w:firstLine="420" w:firstLineChars="200"/>
      </w:pPr>
    </w:p>
    <w:p w14:paraId="162FA26C">
      <w:pPr>
        <w:ind w:firstLine="420" w:firstLineChars="200"/>
      </w:pPr>
      <w:r>
        <w:rPr>
          <w:rFonts w:hint="eastAsia"/>
        </w:rPr>
        <w:drawing>
          <wp:inline distT="0" distB="0" distL="0" distR="0">
            <wp:extent cx="5362575" cy="2543175"/>
            <wp:effectExtent l="0" t="0" r="9525" b="95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3B0E57F">
      <w:pPr>
        <w:ind w:firstLine="640" w:firstLineChars="200"/>
        <w:rPr>
          <w:rFonts w:ascii="仿宋_GB2312" w:eastAsia="仿宋_GB2312"/>
          <w:sz w:val="32"/>
          <w:szCs w:val="32"/>
        </w:rPr>
      </w:pPr>
      <w:r>
        <w:rPr>
          <w:rFonts w:hint="eastAsia" w:ascii="仿宋_GB2312" w:eastAsia="仿宋_GB2312"/>
          <w:sz w:val="32"/>
          <w:szCs w:val="32"/>
        </w:rPr>
        <w:t>（图7：“三公”经费财政拨款支出结构）</w:t>
      </w:r>
    </w:p>
    <w:p w14:paraId="463B4483">
      <w:pPr>
        <w:ind w:firstLine="640" w:firstLineChars="200"/>
        <w:rPr>
          <w:rFonts w:ascii="仿宋_GB2312" w:eastAsia="仿宋_GB2312"/>
          <w:sz w:val="32"/>
          <w:szCs w:val="32"/>
        </w:rPr>
      </w:pPr>
      <w:r>
        <w:rPr>
          <w:rFonts w:hint="eastAsia" w:ascii="仿宋_GB2312" w:eastAsia="仿宋_GB2312"/>
          <w:sz w:val="32"/>
          <w:szCs w:val="32"/>
        </w:rPr>
        <w:t>1.因公出国（境）经费支出0万元，年初未安排预算，因公出国（境）支出决算较2023年无变化。</w:t>
      </w:r>
    </w:p>
    <w:p w14:paraId="48618D51">
      <w:pPr>
        <w:ind w:firstLine="640" w:firstLineChars="200"/>
        <w:rPr>
          <w:rFonts w:ascii="仿宋_GB2312" w:eastAsia="仿宋_GB2312"/>
          <w:sz w:val="32"/>
          <w:szCs w:val="32"/>
        </w:rPr>
      </w:pPr>
      <w:r>
        <w:rPr>
          <w:rFonts w:hint="eastAsia" w:ascii="仿宋_GB2312" w:eastAsia="仿宋_GB2312"/>
          <w:sz w:val="32"/>
          <w:szCs w:val="32"/>
        </w:rPr>
        <w:t>2.公务用车购置及运行维护费支出271.17万元，完成预算100%。公务用车购置及运行维护费支出决算比2023年度减少114.31万元，下降29.35%。主要原因是公务用车购置数量及费用降低。</w:t>
      </w:r>
    </w:p>
    <w:p w14:paraId="10778311">
      <w:pPr>
        <w:ind w:firstLine="640" w:firstLineChars="200"/>
        <w:rPr>
          <w:rFonts w:ascii="仿宋_GB2312" w:eastAsia="仿宋_GB2312"/>
          <w:sz w:val="32"/>
          <w:szCs w:val="32"/>
        </w:rPr>
      </w:pPr>
      <w:r>
        <w:rPr>
          <w:rFonts w:hint="eastAsia" w:ascii="仿宋_GB2312" w:eastAsia="仿宋_GB2312"/>
          <w:sz w:val="32"/>
          <w:szCs w:val="32"/>
        </w:rPr>
        <w:t>其中：公务用车购置支出49.2万元。全年按规定更新购置公务用车5辆，其中：轿车5辆、金额49.2万元，主要用于城区巡逻检查、处理事故、警卫开道、出差等。</w:t>
      </w:r>
    </w:p>
    <w:p w14:paraId="2302A0A0">
      <w:pPr>
        <w:ind w:firstLine="640" w:firstLineChars="200"/>
        <w:rPr>
          <w:rFonts w:ascii="仿宋_GB2312" w:eastAsia="仿宋_GB2312"/>
          <w:sz w:val="32"/>
          <w:szCs w:val="32"/>
        </w:rPr>
      </w:pPr>
      <w:r>
        <w:rPr>
          <w:rFonts w:hint="eastAsia" w:ascii="仿宋_GB2312" w:eastAsia="仿宋_GB2312"/>
          <w:sz w:val="32"/>
          <w:szCs w:val="32"/>
        </w:rPr>
        <w:t>截至2024年12月31日，单位共有公务用车56辆，其中</w:t>
      </w:r>
      <w:r>
        <w:rPr>
          <w:rFonts w:hint="eastAsia" w:ascii="仿宋_GB2312" w:eastAsia="仿宋_GB2312"/>
          <w:color w:val="auto"/>
          <w:sz w:val="32"/>
          <w:szCs w:val="32"/>
        </w:rPr>
        <w:t>：轿车</w:t>
      </w:r>
      <w:r>
        <w:rPr>
          <w:rFonts w:hint="eastAsia" w:ascii="仿宋_GB2312" w:eastAsia="仿宋_GB2312"/>
          <w:color w:val="auto"/>
          <w:sz w:val="32"/>
          <w:szCs w:val="32"/>
          <w:lang w:val="en-US" w:eastAsia="zh-CN"/>
        </w:rPr>
        <w:t>39</w:t>
      </w:r>
      <w:r>
        <w:rPr>
          <w:rFonts w:hint="eastAsia" w:ascii="仿宋_GB2312" w:eastAsia="仿宋_GB2312"/>
          <w:color w:val="auto"/>
          <w:sz w:val="32"/>
          <w:szCs w:val="32"/>
        </w:rPr>
        <w:t>辆、越野车</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辆、</w:t>
      </w:r>
      <w:r>
        <w:rPr>
          <w:rFonts w:hint="eastAsia" w:ascii="仿宋_GB2312" w:hAnsi="仿宋" w:eastAsia="仿宋_GB2312" w:cs="仿宋_GB2312"/>
          <w:sz w:val="32"/>
          <w:szCs w:val="32"/>
        </w:rPr>
        <w:t>大中型</w:t>
      </w:r>
      <w:r>
        <w:rPr>
          <w:rFonts w:ascii="仿宋_GB2312" w:hAnsi="仿宋" w:eastAsia="仿宋_GB2312" w:cs="仿宋_GB2312"/>
          <w:sz w:val="32"/>
          <w:szCs w:val="32"/>
        </w:rPr>
        <w:t>载客汽车</w:t>
      </w:r>
      <w:r>
        <w:rPr>
          <w:rFonts w:hint="eastAsia" w:ascii="仿宋_GB2312" w:hAnsi="仿宋" w:eastAsia="仿宋_GB2312" w:cs="仿宋_GB2312"/>
          <w:sz w:val="32"/>
          <w:szCs w:val="32"/>
          <w:lang w:val="en-US" w:eastAsia="zh-CN"/>
        </w:rPr>
        <w:t>2</w:t>
      </w:r>
      <w:r>
        <w:rPr>
          <w:rFonts w:hint="eastAsia" w:ascii="仿宋_GB2312" w:hAnsi="仿宋" w:eastAsia="仿宋_GB2312" w:cs="仿宋_GB2312"/>
          <w:sz w:val="32"/>
          <w:szCs w:val="32"/>
        </w:rPr>
        <w:t>辆</w:t>
      </w:r>
      <w:r>
        <w:rPr>
          <w:rFonts w:hint="eastAsia" w:ascii="仿宋_GB2312" w:hAnsi="仿宋" w:eastAsia="仿宋_GB2312" w:cs="仿宋_GB2312"/>
          <w:sz w:val="32"/>
          <w:szCs w:val="32"/>
          <w:lang w:eastAsia="zh-CN"/>
        </w:rPr>
        <w:t>、</w:t>
      </w:r>
      <w:r>
        <w:rPr>
          <w:rFonts w:hint="eastAsia" w:ascii="仿宋_GB2312" w:hAnsi="仿宋" w:eastAsia="仿宋_GB2312" w:cs="仿宋_GB2312"/>
          <w:sz w:val="32"/>
          <w:szCs w:val="32"/>
        </w:rPr>
        <w:t>轻型</w:t>
      </w:r>
      <w:r>
        <w:rPr>
          <w:rFonts w:ascii="仿宋_GB2312" w:hAnsi="仿宋" w:eastAsia="仿宋_GB2312" w:cs="仿宋_GB2312"/>
          <w:sz w:val="32"/>
          <w:szCs w:val="32"/>
        </w:rPr>
        <w:t>栏板</w:t>
      </w:r>
      <w:r>
        <w:rPr>
          <w:rFonts w:hint="eastAsia" w:ascii="仿宋_GB2312" w:hAnsi="仿宋" w:eastAsia="仿宋_GB2312" w:cs="仿宋_GB2312"/>
          <w:sz w:val="32"/>
          <w:szCs w:val="32"/>
        </w:rPr>
        <w:t>货车8辆</w:t>
      </w:r>
      <w:r>
        <w:rPr>
          <w:rFonts w:ascii="仿宋_GB2312" w:hAnsi="仿宋" w:eastAsia="仿宋_GB2312" w:cs="仿宋_GB2312"/>
          <w:sz w:val="32"/>
          <w:szCs w:val="32"/>
        </w:rPr>
        <w:t>，</w:t>
      </w:r>
      <w:r>
        <w:rPr>
          <w:rFonts w:hint="eastAsia" w:ascii="仿宋_GB2312" w:eastAsia="仿宋_GB2312"/>
          <w:sz w:val="32"/>
          <w:szCs w:val="32"/>
        </w:rPr>
        <w:t>公务用车运行维护费支出221.97万元。主要用于巡逻检查、处理事故、警卫开道、出差等所需的公务用车燃料费、维修费、过路过桥费、保险费支出。</w:t>
      </w:r>
    </w:p>
    <w:p w14:paraId="270F0B0E">
      <w:pPr>
        <w:ind w:firstLine="640" w:firstLineChars="200"/>
        <w:rPr>
          <w:rFonts w:ascii="仿宋_GB2312" w:eastAsia="仿宋_GB2312"/>
          <w:sz w:val="32"/>
          <w:szCs w:val="32"/>
        </w:rPr>
      </w:pPr>
      <w:r>
        <w:rPr>
          <w:rFonts w:hint="eastAsia" w:ascii="仿宋_GB2312" w:eastAsia="仿宋_GB2312"/>
          <w:sz w:val="32"/>
          <w:szCs w:val="32"/>
        </w:rPr>
        <w:t>3.公务接待费支出4万元，完成预算100%。公务接待费支出决算与2023年度持平。其中：</w:t>
      </w:r>
    </w:p>
    <w:p w14:paraId="56AEC844">
      <w:pPr>
        <w:ind w:firstLine="640" w:firstLineChars="200"/>
        <w:rPr>
          <w:rFonts w:ascii="仿宋_GB2312" w:eastAsia="仿宋_GB2312"/>
          <w:color w:val="auto"/>
          <w:sz w:val="32"/>
          <w:szCs w:val="32"/>
        </w:rPr>
      </w:pPr>
      <w:r>
        <w:rPr>
          <w:rFonts w:hint="eastAsia" w:ascii="仿宋_GB2312" w:eastAsia="仿宋_GB2312"/>
          <w:sz w:val="32"/>
          <w:szCs w:val="32"/>
        </w:rPr>
        <w:t>国内公务接待支出4万元，主要用于执行公务、开展业务活动开支的交通费、住宿费、用餐费等。国内公务接待30批次，310人次（不包括陪同人员），共计支出4万元，具体内容包</w:t>
      </w:r>
      <w:r>
        <w:rPr>
          <w:rFonts w:hint="eastAsia" w:ascii="仿宋_GB2312" w:eastAsia="仿宋_GB2312"/>
          <w:color w:val="auto"/>
          <w:sz w:val="32"/>
          <w:szCs w:val="32"/>
        </w:rPr>
        <w:t>括：接待上级单位检查工作人员支出1.</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5万元，接待下级交警大队办事民警支出</w:t>
      </w:r>
      <w:r>
        <w:rPr>
          <w:rFonts w:hint="eastAsia" w:ascii="仿宋_GB2312" w:eastAsia="仿宋_GB2312"/>
          <w:color w:val="auto"/>
          <w:sz w:val="32"/>
          <w:szCs w:val="32"/>
          <w:lang w:val="en-US" w:eastAsia="zh-CN"/>
        </w:rPr>
        <w:t>2.35</w:t>
      </w:r>
      <w:r>
        <w:rPr>
          <w:rFonts w:hint="eastAsia" w:ascii="仿宋_GB2312" w:eastAsia="仿宋_GB2312"/>
          <w:color w:val="auto"/>
          <w:sz w:val="32"/>
          <w:szCs w:val="32"/>
        </w:rPr>
        <w:t>万元。</w:t>
      </w:r>
    </w:p>
    <w:p w14:paraId="178E858B">
      <w:pPr>
        <w:ind w:firstLine="640" w:firstLineChars="200"/>
        <w:rPr>
          <w:rFonts w:ascii="仿宋_GB2312" w:eastAsia="仿宋_GB2312"/>
          <w:sz w:val="32"/>
          <w:szCs w:val="32"/>
        </w:rPr>
      </w:pPr>
      <w:r>
        <w:rPr>
          <w:rFonts w:hint="eastAsia" w:ascii="仿宋_GB2312" w:eastAsia="仿宋_GB2312"/>
          <w:sz w:val="32"/>
          <w:szCs w:val="32"/>
        </w:rPr>
        <w:t>外事接待支出0万元。</w:t>
      </w:r>
    </w:p>
    <w:p w14:paraId="63E926FB">
      <w:pPr>
        <w:pStyle w:val="4"/>
        <w:bidi w:val="0"/>
      </w:pPr>
      <w:bookmarkStart w:id="11" w:name="_Toc21984"/>
      <w:r>
        <w:rPr>
          <w:rFonts w:hint="eastAsia"/>
        </w:rPr>
        <w:t>八、政府性基金预算支出决算情况说明</w:t>
      </w:r>
      <w:bookmarkEnd w:id="11"/>
    </w:p>
    <w:p w14:paraId="2F783026">
      <w:pPr>
        <w:ind w:firstLine="640" w:firstLineChars="200"/>
        <w:rPr>
          <w:rFonts w:ascii="仿宋_GB2312" w:eastAsia="仿宋_GB2312"/>
          <w:color w:val="auto"/>
          <w:sz w:val="32"/>
          <w:szCs w:val="32"/>
        </w:rPr>
      </w:pPr>
      <w:r>
        <w:rPr>
          <w:rFonts w:hint="eastAsia" w:ascii="仿宋_GB2312" w:eastAsia="仿宋_GB2312"/>
          <w:sz w:val="32"/>
          <w:szCs w:val="32"/>
        </w:rPr>
        <w:t>2024年度政府性基金预算财政拨款支出0万元，占本年支出合计的0%。与2023年度相比，政府性基金预算财政拨款支出减少202.73万元，下降100%。主要变动原因</w:t>
      </w:r>
      <w:r>
        <w:rPr>
          <w:rFonts w:hint="eastAsia" w:ascii="仿宋_GB2312" w:eastAsia="仿宋_GB2312"/>
          <w:color w:val="auto"/>
          <w:sz w:val="32"/>
          <w:szCs w:val="32"/>
        </w:rPr>
        <w:t>是无政府性基金预算支出项目。</w:t>
      </w:r>
    </w:p>
    <w:p w14:paraId="40970972">
      <w:pPr>
        <w:pStyle w:val="4"/>
        <w:bidi w:val="0"/>
      </w:pPr>
      <w:bookmarkStart w:id="12" w:name="_Toc11547"/>
      <w:r>
        <w:rPr>
          <w:rFonts w:hint="eastAsia"/>
        </w:rPr>
        <w:t>九、国有资本经营预算支出决算情况说明</w:t>
      </w:r>
      <w:bookmarkEnd w:id="12"/>
    </w:p>
    <w:p w14:paraId="58E286C2">
      <w:pPr>
        <w:ind w:firstLine="640" w:firstLineChars="200"/>
        <w:rPr>
          <w:rFonts w:ascii="仿宋_GB2312" w:eastAsia="仿宋_GB2312"/>
          <w:sz w:val="32"/>
          <w:szCs w:val="32"/>
        </w:rPr>
      </w:pPr>
      <w:r>
        <w:rPr>
          <w:rFonts w:hint="eastAsia" w:ascii="仿宋_GB2312" w:eastAsia="仿宋_GB2312"/>
          <w:sz w:val="32"/>
          <w:szCs w:val="32"/>
        </w:rPr>
        <w:t>2024年度国有资本经营预算财政拨款支出0万元，占本年支出合计的0%。与2023年度持平。</w:t>
      </w:r>
    </w:p>
    <w:p w14:paraId="29034F8C">
      <w:pPr>
        <w:pStyle w:val="4"/>
        <w:bidi w:val="0"/>
      </w:pPr>
      <w:bookmarkStart w:id="13" w:name="_Toc24150"/>
      <w:r>
        <w:rPr>
          <w:rFonts w:hint="eastAsia"/>
        </w:rPr>
        <w:t>十、其他重要事项的情况说明</w:t>
      </w:r>
      <w:bookmarkEnd w:id="13"/>
    </w:p>
    <w:p w14:paraId="3470FC1F">
      <w:pPr>
        <w:ind w:firstLine="640" w:firstLineChars="200"/>
        <w:rPr>
          <w:rFonts w:ascii="仿宋_GB2312" w:eastAsia="仿宋_GB2312"/>
          <w:sz w:val="32"/>
          <w:szCs w:val="32"/>
        </w:rPr>
      </w:pPr>
      <w:r>
        <w:rPr>
          <w:rFonts w:hint="eastAsia" w:ascii="仿宋_GB2312" w:eastAsia="仿宋_GB2312"/>
          <w:sz w:val="32"/>
          <w:szCs w:val="32"/>
        </w:rPr>
        <w:t>（一）机关运行经费支出情况</w:t>
      </w:r>
    </w:p>
    <w:p w14:paraId="01DA34F1">
      <w:pPr>
        <w:ind w:firstLine="640" w:firstLineChars="200"/>
        <w:rPr>
          <w:rFonts w:ascii="仿宋_GB2312" w:eastAsia="仿宋_GB2312"/>
          <w:sz w:val="32"/>
          <w:szCs w:val="32"/>
        </w:rPr>
      </w:pPr>
      <w:r>
        <w:rPr>
          <w:rFonts w:hint="eastAsia" w:ascii="仿宋_GB2312" w:eastAsia="仿宋_GB2312"/>
          <w:sz w:val="32"/>
          <w:szCs w:val="32"/>
        </w:rPr>
        <w:t>2024年度，广元市公安局交通警察支队机关运行经费支出3265.88万元，比2023年度增加216.33万元，增长7.09%。主要原因是劳务费增加。</w:t>
      </w:r>
    </w:p>
    <w:p w14:paraId="005001B0">
      <w:pPr>
        <w:ind w:firstLine="640" w:firstLineChars="200"/>
        <w:rPr>
          <w:rFonts w:ascii="仿宋_GB2312" w:eastAsia="仿宋_GB2312"/>
          <w:sz w:val="32"/>
          <w:szCs w:val="32"/>
        </w:rPr>
      </w:pPr>
      <w:r>
        <w:rPr>
          <w:rFonts w:hint="eastAsia" w:ascii="仿宋_GB2312" w:eastAsia="仿宋_GB2312"/>
          <w:sz w:val="32"/>
          <w:szCs w:val="32"/>
        </w:rPr>
        <w:t>（二）政府采购支出情况</w:t>
      </w:r>
    </w:p>
    <w:p w14:paraId="0203C834">
      <w:pPr>
        <w:ind w:firstLine="640" w:firstLineChars="200"/>
        <w:rPr>
          <w:rFonts w:ascii="仿宋_GB2312" w:eastAsia="仿宋_GB2312"/>
          <w:sz w:val="32"/>
          <w:szCs w:val="32"/>
        </w:rPr>
      </w:pPr>
      <w:r>
        <w:rPr>
          <w:rFonts w:hint="eastAsia" w:ascii="仿宋_GB2312" w:eastAsia="仿宋_GB2312"/>
          <w:sz w:val="32"/>
          <w:szCs w:val="32"/>
        </w:rPr>
        <w:t>2024年度，广元市公安局交通警察支队政府采购支出总额941.41万元，其中：政府采购货物支出518.04万元、政府采购工程支出0万元、政府采购服务支出423.37万元。主要用于物业管理服务、机动车号牌制作、设备购置等。授予中小企业合同金额815.38万元，占政府采购支出总额的86.61%，其中：授予小微企业合同金额815.38万元，占政府采购支出总额的86.61%。</w:t>
      </w:r>
    </w:p>
    <w:p w14:paraId="1739BDF7">
      <w:pPr>
        <w:ind w:firstLine="640" w:firstLineChars="200"/>
        <w:rPr>
          <w:rFonts w:ascii="仿宋_GB2312" w:eastAsia="仿宋_GB2312"/>
          <w:sz w:val="32"/>
          <w:szCs w:val="32"/>
        </w:rPr>
      </w:pPr>
      <w:r>
        <w:rPr>
          <w:rFonts w:hint="eastAsia" w:ascii="仿宋_GB2312" w:eastAsia="仿宋_GB2312"/>
          <w:sz w:val="32"/>
          <w:szCs w:val="32"/>
        </w:rPr>
        <w:t>（三）国有资产占有使用情况</w:t>
      </w:r>
    </w:p>
    <w:p w14:paraId="110F3F3F">
      <w:pPr>
        <w:ind w:firstLine="640" w:firstLineChars="200"/>
        <w:rPr>
          <w:rFonts w:ascii="仿宋_GB2312" w:eastAsia="仿宋_GB2312"/>
          <w:sz w:val="32"/>
          <w:szCs w:val="32"/>
        </w:rPr>
      </w:pPr>
      <w:r>
        <w:rPr>
          <w:rFonts w:hint="eastAsia" w:ascii="仿宋_GB2312" w:eastAsia="仿宋_GB2312"/>
          <w:sz w:val="32"/>
          <w:szCs w:val="32"/>
        </w:rPr>
        <w:t>截至2024年12月31日，广元市公安局交通警察支队共有车辆56辆，其中：执勤执法用车47辆，特种车辆9辆。单价100万元（含）以上设备（不含车辆）2台（套）。</w:t>
      </w:r>
    </w:p>
    <w:p w14:paraId="3D7DDF8B">
      <w:pPr>
        <w:ind w:firstLine="640" w:firstLineChars="200"/>
        <w:rPr>
          <w:rFonts w:ascii="仿宋_GB2312" w:eastAsia="仿宋_GB2312"/>
          <w:sz w:val="32"/>
          <w:szCs w:val="32"/>
        </w:rPr>
      </w:pPr>
      <w:r>
        <w:rPr>
          <w:rFonts w:hint="eastAsia" w:ascii="仿宋_GB2312" w:eastAsia="仿宋_GB2312"/>
          <w:sz w:val="32"/>
          <w:szCs w:val="32"/>
        </w:rPr>
        <w:t>（四）预算绩效管理情况</w:t>
      </w:r>
    </w:p>
    <w:p w14:paraId="51230D32">
      <w:pPr>
        <w:ind w:firstLine="640" w:firstLineChars="200"/>
        <w:rPr>
          <w:rFonts w:ascii="仿宋_GB2312" w:eastAsia="仿宋_GB2312"/>
          <w:sz w:val="32"/>
          <w:szCs w:val="32"/>
        </w:rPr>
      </w:pPr>
      <w:r>
        <w:rPr>
          <w:rFonts w:hint="eastAsia" w:ascii="仿宋_GB2312" w:eastAsia="仿宋_GB2312"/>
          <w:sz w:val="32"/>
          <w:szCs w:val="32"/>
        </w:rPr>
        <w:t>根据预算绩效管理要求，我支队在2024年度预算编制阶段，组织对交通安全宣传等</w:t>
      </w:r>
      <w:r>
        <w:rPr>
          <w:rFonts w:hint="eastAsia" w:ascii="仿宋_GB2312" w:eastAsia="仿宋_GB2312"/>
          <w:sz w:val="32"/>
          <w:szCs w:val="32"/>
          <w:lang w:val="en-US" w:eastAsia="zh-CN"/>
        </w:rPr>
        <w:t>11</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11</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11</w:t>
      </w:r>
      <w:r>
        <w:rPr>
          <w:rFonts w:hint="eastAsia" w:ascii="仿宋_GB2312" w:eastAsia="仿宋_GB2312"/>
          <w:sz w:val="32"/>
          <w:szCs w:val="32"/>
        </w:rPr>
        <w:t>个项目开展绩效监控。组织对2024年度一般公共预算等全面开展绩效自评，形成部门整体（含部门预算项目）绩效自评报告、</w:t>
      </w:r>
      <w:r>
        <w:rPr>
          <w:rFonts w:hint="eastAsia" w:ascii="仿宋_GB2312" w:hAnsi="仿宋_GB2312" w:eastAsia="仿宋_GB2312" w:cs="仿宋_GB2312"/>
          <w:b w:val="0"/>
          <w:bCs/>
          <w:sz w:val="32"/>
          <w:szCs w:val="32"/>
        </w:rPr>
        <w:t>气相色谱仪购置</w:t>
      </w:r>
      <w:r>
        <w:rPr>
          <w:rFonts w:hint="eastAsia" w:ascii="仿宋_GB2312" w:eastAsia="仿宋_GB2312"/>
          <w:b w:val="0"/>
          <w:bCs/>
          <w:sz w:val="32"/>
          <w:szCs w:val="32"/>
        </w:rPr>
        <w:t>等专项预算项目绩效自评报告，其中，部</w:t>
      </w:r>
      <w:r>
        <w:rPr>
          <w:rFonts w:hint="eastAsia" w:ascii="仿宋_GB2312" w:eastAsia="仿宋_GB2312"/>
          <w:sz w:val="32"/>
          <w:szCs w:val="32"/>
        </w:rPr>
        <w:t>门整体（含部门预算项目）绩效自评得分为</w:t>
      </w:r>
      <w:r>
        <w:rPr>
          <w:rFonts w:hint="eastAsia" w:ascii="仿宋_GB2312" w:eastAsia="仿宋_GB2312"/>
          <w:sz w:val="32"/>
          <w:szCs w:val="32"/>
          <w:lang w:val="en-US" w:eastAsia="zh-CN"/>
        </w:rPr>
        <w:t>95.84</w:t>
      </w:r>
      <w:r>
        <w:rPr>
          <w:rFonts w:hint="eastAsia" w:ascii="仿宋_GB2312" w:eastAsia="仿宋_GB2312"/>
          <w:sz w:val="32"/>
          <w:szCs w:val="32"/>
        </w:rPr>
        <w:t>分，</w:t>
      </w:r>
      <w:r>
        <w:rPr>
          <w:rFonts w:hint="eastAsia" w:ascii="仿宋_GB2312" w:hAnsi="仿宋_GB2312" w:eastAsia="仿宋_GB2312" w:cs="仿宋_GB2312"/>
          <w:kern w:val="0"/>
          <w:sz w:val="32"/>
          <w:szCs w:val="32"/>
          <w:shd w:val="clear" w:color="auto" w:fill="FFFFFF"/>
        </w:rPr>
        <w:t>202</w:t>
      </w:r>
      <w:r>
        <w:rPr>
          <w:rFonts w:hint="eastAsia" w:ascii="仿宋_GB2312" w:hAnsi="仿宋_GB2312" w:eastAsia="仿宋_GB2312" w:cs="仿宋_GB2312"/>
          <w:kern w:val="0"/>
          <w:sz w:val="32"/>
          <w:szCs w:val="32"/>
          <w:shd w:val="clear" w:color="auto" w:fill="FFFFFF"/>
          <w:lang w:val="en-US" w:eastAsia="zh-CN"/>
        </w:rPr>
        <w:t>4</w:t>
      </w:r>
      <w:r>
        <w:rPr>
          <w:rFonts w:hint="eastAsia" w:ascii="仿宋_GB2312" w:hAnsi="仿宋_GB2312" w:eastAsia="仿宋_GB2312" w:cs="仿宋_GB2312"/>
          <w:kern w:val="0"/>
          <w:sz w:val="32"/>
          <w:szCs w:val="32"/>
          <w:shd w:val="clear" w:color="auto" w:fill="FFFFFF"/>
        </w:rPr>
        <w:t>年，我</w:t>
      </w:r>
      <w:r>
        <w:rPr>
          <w:rFonts w:hint="eastAsia" w:ascii="仿宋_GB2312" w:hAnsi="仿宋_GB2312" w:eastAsia="仿宋_GB2312" w:cs="仿宋_GB2312"/>
          <w:color w:val="000000"/>
          <w:kern w:val="0"/>
          <w:sz w:val="32"/>
          <w:szCs w:val="32"/>
        </w:rPr>
        <w:t>支队从</w:t>
      </w:r>
      <w:r>
        <w:rPr>
          <w:rFonts w:hint="eastAsia" w:ascii="仿宋_GB2312" w:hAnsi="仿宋_GB2312" w:eastAsia="仿宋_GB2312" w:cs="仿宋_GB2312"/>
          <w:color w:val="000000"/>
          <w:sz w:val="32"/>
          <w:szCs w:val="32"/>
        </w:rPr>
        <w:t>需求、论证、审批、实施和验收等环节着手，注重强化</w:t>
      </w:r>
      <w:r>
        <w:rPr>
          <w:rFonts w:hint="eastAsia" w:ascii="仿宋_GB2312" w:hAnsi="仿宋_GB2312" w:eastAsia="仿宋_GB2312" w:cs="仿宋_GB2312"/>
          <w:color w:val="000000"/>
          <w:kern w:val="0"/>
          <w:sz w:val="32"/>
          <w:szCs w:val="32"/>
        </w:rPr>
        <w:t>项目的规划与科学论证，</w:t>
      </w:r>
      <w:r>
        <w:rPr>
          <w:rFonts w:hint="eastAsia" w:ascii="仿宋_GB2312" w:hAnsi="仿宋_GB2312" w:eastAsia="仿宋_GB2312" w:cs="仿宋_GB2312"/>
          <w:color w:val="000000"/>
          <w:sz w:val="32"/>
          <w:szCs w:val="32"/>
        </w:rPr>
        <w:t>规范绩效支出项目建设，严把项目建设进度和质</w:t>
      </w:r>
      <w:r>
        <w:rPr>
          <w:rFonts w:hint="eastAsia" w:ascii="仿宋_GB2312" w:hAnsi="仿宋_GB2312" w:eastAsia="仿宋_GB2312" w:cs="仿宋_GB2312"/>
          <w:sz w:val="32"/>
          <w:szCs w:val="32"/>
        </w:rPr>
        <w:t>量关，实现流程管理模式化和标准化；健全了资金的核算与管理制度，做到“量化到人头，落实到部门，具体到项目”，促进了财政资金的使用管理方式，极大的保障了道路交通管理；</w:t>
      </w:r>
      <w:r>
        <w:rPr>
          <w:rFonts w:hint="eastAsia" w:ascii="仿宋_GB2312" w:hAnsi="仿宋_GB2312" w:eastAsia="仿宋_GB2312" w:cs="仿宋_GB2312"/>
          <w:sz w:val="32"/>
          <w:szCs w:val="32"/>
          <w:lang w:val="en-US"/>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en-US"/>
        </w:rPr>
        <w:t>年中央和省级政法转移支付资金</w:t>
      </w:r>
      <w:r>
        <w:rPr>
          <w:rFonts w:hint="eastAsia" w:ascii="仿宋_GB2312" w:hAnsi="仿宋_GB2312" w:eastAsia="仿宋_GB2312" w:cs="仿宋_GB2312"/>
          <w:sz w:val="32"/>
          <w:szCs w:val="32"/>
        </w:rPr>
        <w:t>专项预算项目绩效自评得分为</w:t>
      </w:r>
      <w:r>
        <w:rPr>
          <w:rFonts w:hint="eastAsia" w:ascii="仿宋_GB2312" w:hAnsi="仿宋_GB2312" w:eastAsia="仿宋_GB2312" w:cs="仿宋_GB2312"/>
          <w:sz w:val="32"/>
          <w:szCs w:val="32"/>
          <w:lang w:val="en-US" w:eastAsia="zh-CN"/>
        </w:rPr>
        <w:t>97.2分</w:t>
      </w:r>
      <w:r>
        <w:rPr>
          <w:rFonts w:hint="eastAsia" w:ascii="仿宋_GB2312" w:hAnsi="仿宋_GB2312" w:eastAsia="仿宋_GB2312" w:cs="仿宋_GB2312"/>
          <w:sz w:val="32"/>
          <w:szCs w:val="32"/>
        </w:rPr>
        <w:t>，从评价情况来看，该项目得分</w:t>
      </w:r>
      <w:r>
        <w:rPr>
          <w:rFonts w:hint="eastAsia" w:ascii="仿宋_GB2312" w:hAnsi="仿宋_GB2312" w:eastAsia="仿宋_GB2312" w:cs="仿宋_GB2312"/>
          <w:sz w:val="32"/>
          <w:szCs w:val="32"/>
          <w:lang w:val="en-US" w:eastAsia="zh-CN"/>
        </w:rPr>
        <w:t>97.2</w:t>
      </w:r>
      <w:r>
        <w:rPr>
          <w:rFonts w:hint="eastAsia" w:ascii="仿宋_GB2312" w:hAnsi="仿宋_GB2312" w:eastAsia="仿宋_GB2312" w:cs="仿宋_GB2312"/>
          <w:sz w:val="32"/>
          <w:szCs w:val="32"/>
        </w:rPr>
        <w:t>分。项目的预算资金管理科学合理，使用规范，完成了项目的既定目标，达到了预期使用效果。</w:t>
      </w:r>
      <w:r>
        <w:rPr>
          <w:rFonts w:hint="eastAsia" w:ascii="仿宋_GB2312" w:hAnsi="仿宋_GB2312" w:eastAsia="仿宋_GB2312" w:cs="仿宋_GB2312"/>
          <w:sz w:val="32"/>
          <w:szCs w:val="32"/>
          <w:lang w:val="en-US"/>
        </w:rPr>
        <w:t>城区交通管理设施建设与维护</w:t>
      </w:r>
      <w:r>
        <w:rPr>
          <w:rFonts w:hint="eastAsia" w:ascii="仿宋_GB2312" w:hAnsi="仿宋_GB2312" w:eastAsia="仿宋_GB2312" w:cs="仿宋_GB2312"/>
          <w:sz w:val="32"/>
          <w:szCs w:val="32"/>
        </w:rPr>
        <w:t>专项预算项目绩效自评得分</w:t>
      </w:r>
      <w:r>
        <w:rPr>
          <w:rFonts w:hint="eastAsia" w:ascii="仿宋_GB2312" w:hAnsi="仿宋_GB2312" w:eastAsia="仿宋_GB2312" w:cs="仿宋_GB2312"/>
          <w:sz w:val="32"/>
          <w:szCs w:val="32"/>
          <w:lang w:val="en-US" w:eastAsia="zh-CN"/>
        </w:rPr>
        <w:t>97.6</w:t>
      </w:r>
      <w:r>
        <w:rPr>
          <w:rFonts w:hint="eastAsia" w:ascii="仿宋_GB2312" w:hAnsi="仿宋_GB2312" w:eastAsia="仿宋_GB2312" w:cs="仿宋_GB2312"/>
          <w:sz w:val="32"/>
          <w:szCs w:val="32"/>
        </w:rPr>
        <w:t>分。项目的预算资金管理科学合理，使用规范，完成了项目的既定目标，达到了预期使用效果。</w:t>
      </w:r>
      <w:r>
        <w:rPr>
          <w:rFonts w:hint="eastAsia" w:ascii="仿宋_GB2312" w:hAnsi="仿宋_GB2312" w:eastAsia="仿宋_GB2312" w:cs="仿宋_GB2312"/>
          <w:sz w:val="32"/>
          <w:szCs w:val="32"/>
          <w:lang w:val="en-US" w:eastAsia="zh-CN"/>
        </w:rPr>
        <w:t>酒驾血样监管系统</w:t>
      </w:r>
      <w:r>
        <w:rPr>
          <w:rFonts w:hint="eastAsia" w:ascii="仿宋_GB2312" w:hAnsi="仿宋_GB2312" w:eastAsia="仿宋_GB2312" w:cs="仿宋_GB2312"/>
          <w:sz w:val="32"/>
          <w:szCs w:val="32"/>
        </w:rPr>
        <w:t>专项预算项目绩效自评得分是</w:t>
      </w:r>
      <w:r>
        <w:rPr>
          <w:rFonts w:hint="eastAsia" w:ascii="仿宋_GB2312" w:hAnsi="仿宋_GB2312" w:eastAsia="仿宋_GB2312" w:cs="仿宋_GB2312"/>
          <w:sz w:val="32"/>
          <w:szCs w:val="32"/>
          <w:lang w:val="en-US" w:eastAsia="zh-CN"/>
        </w:rPr>
        <w:t>99.3</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从评价情况来看，项目的预算资金管理科学合理，使用规范，完成了项目的既定目标，达到了预期使用效果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气相色谱仪购置</w:t>
      </w:r>
      <w:r>
        <w:rPr>
          <w:rFonts w:hint="eastAsia" w:ascii="仿宋_GB2312" w:hAnsi="仿宋_GB2312" w:eastAsia="仿宋_GB2312" w:cs="仿宋_GB2312"/>
          <w:sz w:val="32"/>
          <w:szCs w:val="32"/>
        </w:rPr>
        <w:t>专项预算项目绩效自评得分</w:t>
      </w:r>
      <w:r>
        <w:rPr>
          <w:rFonts w:hint="eastAsia" w:ascii="仿宋_GB2312" w:hAnsi="仿宋_GB2312" w:eastAsia="仿宋_GB2312" w:cs="仿宋_GB2312"/>
          <w:sz w:val="32"/>
          <w:szCs w:val="32"/>
          <w:lang w:val="en-US" w:eastAsia="zh-CN"/>
        </w:rPr>
        <w:t>99.25</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从评价情况来看，项目的预算资金管理科学合理，使用规范，完成了项目的既定目标，达到了预期使用效果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全国文明城市创建经费</w:t>
      </w:r>
      <w:r>
        <w:rPr>
          <w:rFonts w:hint="eastAsia" w:ascii="仿宋_GB2312" w:hAnsi="仿宋_GB2312" w:eastAsia="仿宋_GB2312" w:cs="仿宋_GB2312"/>
          <w:sz w:val="32"/>
          <w:szCs w:val="32"/>
        </w:rPr>
        <w:t>专项预算项目绩效自评得分</w:t>
      </w:r>
      <w:r>
        <w:rPr>
          <w:rFonts w:hint="eastAsia" w:ascii="仿宋_GB2312" w:hAnsi="仿宋_GB2312" w:eastAsia="仿宋_GB2312" w:cs="仿宋_GB2312"/>
          <w:sz w:val="32"/>
          <w:szCs w:val="32"/>
          <w:lang w:val="en-US" w:eastAsia="zh-CN"/>
        </w:rPr>
        <w:t>100分，</w:t>
      </w:r>
      <w:r>
        <w:rPr>
          <w:rFonts w:hint="eastAsia" w:ascii="仿宋_GB2312" w:hAnsi="仿宋_GB2312" w:eastAsia="仿宋_GB2312" w:cs="仿宋_GB2312"/>
          <w:sz w:val="32"/>
          <w:szCs w:val="32"/>
        </w:rPr>
        <w:t>从评价情况来看，项目的预算资金管理科学合理，使用规范，完成了项目的既定目标，达到了预期使用效果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移动源管控（远端分流、老旧车辆淘汰等）</w:t>
      </w:r>
      <w:r>
        <w:rPr>
          <w:rFonts w:hint="eastAsia" w:ascii="仿宋_GB2312" w:hAnsi="仿宋_GB2312" w:eastAsia="仿宋_GB2312" w:cs="仿宋_GB2312"/>
          <w:sz w:val="32"/>
          <w:szCs w:val="32"/>
        </w:rPr>
        <w:t>专项预算项目绩效自评得分100分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从评价情况来看，项目的预算资金管理科学合理，使用规范，完成了项目的既定目标，达到了预期使用效果</w:t>
      </w:r>
      <w:r>
        <w:rPr>
          <w:rFonts w:hint="eastAsia" w:ascii="仿宋_GB2312" w:hAnsi="仿宋_GB2312" w:eastAsia="仿宋_GB2312" w:cs="仿宋_GB2312"/>
          <w:sz w:val="32"/>
          <w:szCs w:val="32"/>
          <w:lang w:eastAsia="zh-CN"/>
        </w:rPr>
        <w:t>。</w:t>
      </w:r>
      <w:r>
        <w:rPr>
          <w:rFonts w:hint="eastAsia" w:ascii="仿宋_GB2312" w:eastAsia="仿宋_GB2312"/>
          <w:sz w:val="32"/>
          <w:szCs w:val="32"/>
        </w:rPr>
        <w:t>绩效自评报告详见附件。</w:t>
      </w:r>
    </w:p>
    <w:p w14:paraId="53E1647A">
      <w:pPr>
        <w:ind w:firstLine="640" w:firstLineChars="200"/>
        <w:rPr>
          <w:rFonts w:ascii="仿宋_GB2312" w:eastAsia="仿宋_GB2312"/>
          <w:sz w:val="32"/>
          <w:szCs w:val="32"/>
        </w:rPr>
      </w:pPr>
    </w:p>
    <w:p w14:paraId="3A1305CA">
      <w:pPr>
        <w:rPr>
          <w:rFonts w:ascii="仿宋_GB2312" w:eastAsia="仿宋_GB2312"/>
          <w:sz w:val="32"/>
          <w:szCs w:val="32"/>
        </w:rPr>
      </w:pPr>
    </w:p>
    <w:p w14:paraId="22DB06D9">
      <w:pPr>
        <w:pStyle w:val="3"/>
        <w:bidi w:val="0"/>
        <w:jc w:val="center"/>
      </w:pPr>
      <w:bookmarkStart w:id="14" w:name="_Toc1234"/>
      <w:r>
        <w:rPr>
          <w:rFonts w:hint="eastAsia"/>
        </w:rPr>
        <w:t>第三部分  名词解释</w:t>
      </w:r>
      <w:bookmarkEnd w:id="14"/>
    </w:p>
    <w:p w14:paraId="63C7519A">
      <w:pPr>
        <w:ind w:firstLine="640" w:firstLineChars="200"/>
        <w:rPr>
          <w:rFonts w:ascii="仿宋_GB2312" w:eastAsia="仿宋_GB2312"/>
          <w:sz w:val="32"/>
          <w:szCs w:val="32"/>
        </w:rPr>
      </w:pPr>
      <w:r>
        <w:rPr>
          <w:rFonts w:hint="eastAsia" w:ascii="仿宋_GB2312" w:eastAsia="仿宋_GB2312"/>
          <w:sz w:val="32"/>
          <w:szCs w:val="32"/>
        </w:rPr>
        <w:t>1．财政拨款收入：指单位从同级财政部门取得的财政预算资金。</w:t>
      </w:r>
    </w:p>
    <w:p w14:paraId="55FBAC61">
      <w:pPr>
        <w:ind w:firstLine="640" w:firstLineChars="200"/>
        <w:rPr>
          <w:rFonts w:ascii="仿宋_GB2312" w:eastAsia="仿宋_GB2312"/>
          <w:sz w:val="32"/>
          <w:szCs w:val="32"/>
        </w:rPr>
      </w:pPr>
      <w:r>
        <w:rPr>
          <w:rFonts w:hint="eastAsia" w:ascii="仿宋_GB2312" w:eastAsia="仿宋_GB2312"/>
          <w:sz w:val="32"/>
          <w:szCs w:val="32"/>
        </w:rPr>
        <w:t>2．其他收入：指单位取得的除上述收入以外的各项收入。主要是利息、上级部门拨款等。</w:t>
      </w:r>
    </w:p>
    <w:p w14:paraId="2410442C">
      <w:pPr>
        <w:ind w:firstLine="640" w:firstLineChars="200"/>
        <w:rPr>
          <w:rFonts w:ascii="仿宋_GB2312" w:eastAsia="仿宋_GB2312"/>
          <w:sz w:val="32"/>
          <w:szCs w:val="32"/>
        </w:rPr>
      </w:pPr>
      <w:r>
        <w:rPr>
          <w:rFonts w:hint="eastAsia" w:ascii="仿宋_GB2312" w:eastAsia="仿宋_GB2312"/>
          <w:sz w:val="32"/>
          <w:szCs w:val="32"/>
        </w:rPr>
        <w:t>5．公共安全（类）公安（款）行政运行（项）：指用于保障机构正常运行、开展日常工作的基本支出。</w:t>
      </w:r>
    </w:p>
    <w:p w14:paraId="6862011A">
      <w:pPr>
        <w:ind w:firstLine="640" w:firstLineChars="200"/>
        <w:rPr>
          <w:rFonts w:ascii="仿宋_GB2312" w:eastAsia="仿宋_GB2312"/>
          <w:sz w:val="32"/>
          <w:szCs w:val="32"/>
        </w:rPr>
      </w:pPr>
      <w:r>
        <w:rPr>
          <w:rFonts w:hint="eastAsia" w:ascii="仿宋_GB2312" w:eastAsia="仿宋_GB2312"/>
          <w:sz w:val="32"/>
          <w:szCs w:val="32"/>
        </w:rPr>
        <w:t>6．公共安全（类）公安（款）其他公安支出（项）：指各级公安机关开展各类公安业务管理工作的支出。</w:t>
      </w:r>
    </w:p>
    <w:p w14:paraId="15D202EC">
      <w:pPr>
        <w:ind w:firstLine="640" w:firstLineChars="200"/>
        <w:rPr>
          <w:rFonts w:ascii="仿宋_GB2312" w:eastAsia="仿宋_GB2312"/>
          <w:sz w:val="32"/>
          <w:szCs w:val="32"/>
        </w:rPr>
      </w:pPr>
      <w:r>
        <w:rPr>
          <w:rFonts w:hint="eastAsia" w:ascii="仿宋_GB2312" w:eastAsia="仿宋_GB2312"/>
          <w:sz w:val="32"/>
          <w:szCs w:val="32"/>
        </w:rPr>
        <w:t>7．社会保障和就业（类）行政事业单位养老支出（款）机关事业单位基本养老保险缴费支出（项）：指部门实施养老保险制度由单位缴纳的养老保险的支出。</w:t>
      </w:r>
    </w:p>
    <w:p w14:paraId="6B3A2D17">
      <w:pPr>
        <w:ind w:firstLine="640" w:firstLineChars="200"/>
        <w:rPr>
          <w:rFonts w:ascii="仿宋_GB2312" w:eastAsia="仿宋_GB2312"/>
          <w:sz w:val="32"/>
          <w:szCs w:val="32"/>
        </w:rPr>
      </w:pPr>
      <w:r>
        <w:rPr>
          <w:rFonts w:hint="eastAsia" w:ascii="仿宋_GB2312" w:eastAsia="仿宋_GB2312"/>
          <w:sz w:val="32"/>
          <w:szCs w:val="32"/>
        </w:rPr>
        <w:t>8．社会保障和就业（类）行政事业单位养老支出（款）机关事业单位职业年金缴费（项）：指部门实施养老保险由单位缴纳的职业年金的支出。</w:t>
      </w:r>
    </w:p>
    <w:p w14:paraId="59DD4C23">
      <w:pPr>
        <w:ind w:firstLine="640" w:firstLineChars="200"/>
        <w:rPr>
          <w:rFonts w:ascii="仿宋_GB2312" w:eastAsia="仿宋_GB2312"/>
          <w:sz w:val="32"/>
          <w:szCs w:val="32"/>
        </w:rPr>
      </w:pPr>
      <w:r>
        <w:rPr>
          <w:rFonts w:hint="eastAsia" w:ascii="仿宋_GB2312" w:eastAsia="仿宋_GB2312"/>
          <w:sz w:val="32"/>
          <w:szCs w:val="32"/>
        </w:rPr>
        <w:t>9．卫生健康（类）行政事业单位医疗（款）行政单位医疗（项）：指机关及参公管理事业单位用于单位应缴纳基本医疗保险支出。</w:t>
      </w:r>
    </w:p>
    <w:p w14:paraId="27D643A5">
      <w:pPr>
        <w:ind w:firstLine="640" w:firstLineChars="200"/>
        <w:rPr>
          <w:rFonts w:ascii="仿宋_GB2312" w:eastAsia="仿宋_GB2312"/>
          <w:sz w:val="32"/>
          <w:szCs w:val="32"/>
        </w:rPr>
      </w:pPr>
      <w:r>
        <w:rPr>
          <w:rFonts w:hint="eastAsia" w:ascii="仿宋_GB2312" w:eastAsia="仿宋_GB2312"/>
          <w:sz w:val="32"/>
          <w:szCs w:val="32"/>
        </w:rPr>
        <w:t>10．住房保障（类）住房改革支出（款）住房公积金（项）：指按照《住房公积金管理条例》的规定，由单位及其在职职工缴存的长期住房储金。</w:t>
      </w:r>
    </w:p>
    <w:p w14:paraId="0265FE26">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1</w:t>
      </w:r>
      <w:r>
        <w:rPr>
          <w:rFonts w:hint="eastAsia" w:ascii="仿宋_GB2312" w:eastAsia="仿宋_GB2312"/>
          <w:sz w:val="32"/>
          <w:szCs w:val="32"/>
        </w:rPr>
        <w:t>．基本支出：指为保障机构正常运转、完成日常工作任务而发生的人员支出和公用支出。</w:t>
      </w:r>
    </w:p>
    <w:p w14:paraId="71FA3E70">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．项目支出：指在基本支出之外为完成特定行政任务和事业发展目标所发生的支出。</w:t>
      </w:r>
    </w:p>
    <w:p w14:paraId="7DA7DB5E">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3</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0252F56">
      <w:pPr>
        <w:ind w:firstLine="640" w:firstLineChars="200"/>
        <w:rPr>
          <w:rFonts w:hint="eastAsia" w:ascii="仿宋_GB2312" w:eastAsia="仿宋_GB2312"/>
          <w:sz w:val="32"/>
          <w:szCs w:val="32"/>
        </w:rPr>
        <w:sectPr>
          <w:footerReference r:id="rId6" w:type="default"/>
          <w:pgSz w:w="11906" w:h="16838"/>
          <w:pgMar w:top="1440" w:right="1800" w:bottom="1440" w:left="1800" w:header="851" w:footer="992" w:gutter="0"/>
          <w:pgNumType w:fmt="decimal" w:start="1"/>
          <w:cols w:space="425" w:num="1"/>
          <w:docGrid w:type="lines" w:linePitch="312" w:charSpace="0"/>
        </w:sectPr>
      </w:pPr>
      <w:r>
        <w:rPr>
          <w:rFonts w:hint="eastAsia" w:ascii="仿宋_GB2312" w:eastAsia="仿宋_GB2312"/>
          <w:sz w:val="32"/>
          <w:szCs w:val="32"/>
        </w:rPr>
        <w:t>1</w:t>
      </w:r>
      <w:r>
        <w:rPr>
          <w:rFonts w:hint="eastAsia" w:ascii="仿宋_GB2312" w:eastAsia="仿宋_GB2312"/>
          <w:sz w:val="32"/>
          <w:szCs w:val="32"/>
          <w:lang w:val="en-US" w:eastAsia="zh-CN"/>
        </w:rPr>
        <w:t>4</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FBFE715">
      <w:pPr>
        <w:spacing w:line="576" w:lineRule="exact"/>
        <w:contextualSpacing/>
        <w:jc w:val="both"/>
        <w:rPr>
          <w:rFonts w:ascii="方正小标宋简体" w:hAnsi="Times New Roman" w:eastAsia="方正小标宋简体"/>
          <w:sz w:val="44"/>
          <w:szCs w:val="44"/>
          <w:shd w:val="clear" w:color="auto" w:fill="FFFFFF"/>
        </w:rPr>
      </w:pPr>
    </w:p>
    <w:p w14:paraId="3A213D8B">
      <w:pPr>
        <w:pStyle w:val="3"/>
        <w:bidi w:val="0"/>
        <w:jc w:val="center"/>
        <w:rPr>
          <w:rStyle w:val="16"/>
          <w:rFonts w:ascii="黑体" w:hAnsi="黑体" w:eastAsia="黑体"/>
          <w:b w:val="0"/>
        </w:rPr>
      </w:pPr>
      <w:bookmarkStart w:id="15" w:name="_Toc1538"/>
      <w:r>
        <w:rPr>
          <w:rFonts w:hint="eastAsia" w:ascii="黑体" w:hAnsi="黑体" w:eastAsia="黑体"/>
          <w:sz w:val="44"/>
          <w:szCs w:val="44"/>
        </w:rPr>
        <w:t>第</w:t>
      </w:r>
      <w:r>
        <w:rPr>
          <w:rStyle w:val="16"/>
          <w:rFonts w:hint="eastAsia" w:ascii="黑体" w:hAnsi="黑体" w:eastAsia="黑体"/>
          <w:b w:val="0"/>
        </w:rPr>
        <w:t>四部分 附件</w:t>
      </w:r>
      <w:bookmarkEnd w:id="15"/>
    </w:p>
    <w:p w14:paraId="3538F19D">
      <w:pPr>
        <w:autoSpaceDE w:val="0"/>
        <w:spacing w:line="572" w:lineRule="exact"/>
        <w:jc w:val="left"/>
        <w:outlineLvl w:val="0"/>
        <w:rPr>
          <w:color w:val="FF0000"/>
          <w:sz w:val="32"/>
          <w:szCs w:val="32"/>
        </w:rPr>
      </w:pPr>
      <w:r>
        <w:rPr>
          <w:rFonts w:hint="eastAsia" w:ascii="黑体" w:hAnsi="黑体" w:eastAsia="黑体"/>
          <w:color w:val="FF0000"/>
          <w:sz w:val="32"/>
          <w:szCs w:val="32"/>
        </w:rPr>
        <w:t xml:space="preserve"> </w:t>
      </w:r>
    </w:p>
    <w:p w14:paraId="087B08F1">
      <w:pPr>
        <w:autoSpaceDE w:val="0"/>
        <w:spacing w:line="572" w:lineRule="exact"/>
        <w:jc w:val="left"/>
        <w:outlineLvl w:val="0"/>
        <w:rPr>
          <w:rFonts w:ascii="方正小标宋简体" w:hAnsi="方正小标宋简体" w:eastAsia="黑体" w:cs="方正小标宋简体"/>
          <w:sz w:val="44"/>
          <w:szCs w:val="44"/>
        </w:rPr>
      </w:pPr>
      <w:bookmarkStart w:id="16" w:name="_Toc31482"/>
      <w:r>
        <w:rPr>
          <w:rFonts w:hint="eastAsia" w:ascii="黑体" w:hAnsi="黑体" w:eastAsia="黑体"/>
          <w:sz w:val="32"/>
          <w:szCs w:val="32"/>
        </w:rPr>
        <w:t>附件1</w:t>
      </w:r>
      <w:bookmarkEnd w:id="16"/>
    </w:p>
    <w:p w14:paraId="5C866A96">
      <w:pPr>
        <w:spacing w:line="576" w:lineRule="exact"/>
        <w:contextualSpacing/>
        <w:jc w:val="center"/>
        <w:rPr>
          <w:rFonts w:ascii="方正小标宋简体" w:hAnsi="Times New Roman" w:eastAsia="方正小标宋简体"/>
          <w:sz w:val="44"/>
          <w:szCs w:val="44"/>
          <w:shd w:val="clear" w:color="auto" w:fill="FFFFFF"/>
        </w:rPr>
      </w:pPr>
      <w:r>
        <w:rPr>
          <w:rFonts w:hint="eastAsia" w:ascii="方正小标宋简体" w:hAnsi="Times New Roman" w:eastAsia="方正小标宋简体"/>
          <w:sz w:val="44"/>
          <w:szCs w:val="44"/>
          <w:shd w:val="clear" w:color="auto" w:fill="FFFFFF"/>
        </w:rPr>
        <w:t>广元市公安局交通警察支队</w:t>
      </w:r>
    </w:p>
    <w:p w14:paraId="1BB018A5">
      <w:pPr>
        <w:spacing w:line="576" w:lineRule="exact"/>
        <w:contextualSpacing/>
        <w:jc w:val="center"/>
        <w:rPr>
          <w:rFonts w:ascii="Times New Roman" w:hAnsi="Times New Roman" w:eastAsia="方正小标宋简体"/>
          <w:sz w:val="44"/>
          <w:szCs w:val="44"/>
          <w:shd w:val="clear" w:color="auto" w:fill="FFFFFF"/>
        </w:rPr>
      </w:pPr>
      <w:r>
        <w:rPr>
          <w:rFonts w:hint="eastAsia" w:ascii="方正小标宋简体" w:hAnsi="Times New Roman" w:eastAsia="方正小标宋简体"/>
          <w:sz w:val="44"/>
          <w:szCs w:val="44"/>
          <w:shd w:val="clear" w:color="auto" w:fill="FFFFFF"/>
        </w:rPr>
        <w:t>部门预算绩效</w:t>
      </w:r>
      <w:r>
        <w:rPr>
          <w:rFonts w:hint="eastAsia" w:ascii="方正小标宋简体" w:eastAsia="方正小标宋简体"/>
          <w:sz w:val="44"/>
          <w:szCs w:val="44"/>
          <w:shd w:val="clear" w:color="auto" w:fill="FFFFFF"/>
        </w:rPr>
        <w:t>自评</w:t>
      </w:r>
      <w:r>
        <w:rPr>
          <w:rFonts w:hint="eastAsia" w:ascii="方正小标宋简体" w:hAnsi="Times New Roman" w:eastAsia="方正小标宋简体"/>
          <w:sz w:val="44"/>
          <w:szCs w:val="44"/>
          <w:shd w:val="clear" w:color="auto" w:fill="FFFFFF"/>
        </w:rPr>
        <w:t>报告</w:t>
      </w:r>
    </w:p>
    <w:p w14:paraId="19DDA257">
      <w:pPr>
        <w:adjustRightInd w:val="0"/>
        <w:snapToGrid w:val="0"/>
        <w:spacing w:line="576" w:lineRule="exact"/>
        <w:ind w:firstLine="640" w:firstLineChars="200"/>
        <w:contextualSpacing/>
        <w:jc w:val="left"/>
        <w:rPr>
          <w:rFonts w:ascii="Times New Roman" w:hAnsi="Times New Roman" w:eastAsia="黑体"/>
          <w:kern w:val="0"/>
          <w:sz w:val="32"/>
          <w:szCs w:val="32"/>
          <w:shd w:val="clear" w:color="auto" w:fill="FFFFFF"/>
        </w:rPr>
      </w:pPr>
      <w:r>
        <w:rPr>
          <w:rFonts w:hint="eastAsia" w:ascii="Times New Roman" w:hAnsi="Times New Roman" w:eastAsia="黑体"/>
          <w:kern w:val="0"/>
          <w:sz w:val="32"/>
          <w:szCs w:val="32"/>
          <w:shd w:val="clear" w:color="auto" w:fill="FFFFFF"/>
        </w:rPr>
        <w:t xml:space="preserve"> </w:t>
      </w:r>
    </w:p>
    <w:p w14:paraId="3EEB8ECA">
      <w:pPr>
        <w:autoSpaceDE w:val="0"/>
        <w:adjustRightInd w:val="0"/>
        <w:snapToGrid w:val="0"/>
        <w:spacing w:line="560" w:lineRule="exact"/>
        <w:ind w:firstLine="640" w:firstLineChars="200"/>
        <w:contextualSpacing/>
        <w:jc w:val="left"/>
        <w:rPr>
          <w:rFonts w:ascii="Times New Roman" w:hAnsi="Times New Roman"/>
          <w:sz w:val="32"/>
          <w:szCs w:val="32"/>
        </w:rPr>
      </w:pPr>
      <w:r>
        <w:rPr>
          <w:rFonts w:hint="eastAsia" w:ascii="黑体" w:hAnsi="黑体" w:eastAsia="黑体"/>
          <w:kern w:val="0"/>
          <w:sz w:val="32"/>
          <w:szCs w:val="32"/>
          <w:shd w:val="clear" w:color="auto" w:fill="FFFFFF"/>
        </w:rPr>
        <w:t>一、部门（单位）基本情况</w:t>
      </w:r>
    </w:p>
    <w:p w14:paraId="2EF6F5AA">
      <w:pPr>
        <w:widowControl/>
        <w:autoSpaceDE w:val="0"/>
        <w:adjustRightInd w:val="0"/>
        <w:snapToGrid w:val="0"/>
        <w:spacing w:line="560" w:lineRule="exact"/>
        <w:ind w:firstLine="640" w:firstLineChars="200"/>
        <w:contextualSpacing/>
        <w:jc w:val="left"/>
        <w:rPr>
          <w:rFonts w:ascii="仿宋_GB2312" w:hAnsi="Times New Roman" w:eastAsia="仿宋_GB2312"/>
          <w:sz w:val="32"/>
          <w:szCs w:val="32"/>
        </w:rPr>
      </w:pPr>
      <w:r>
        <w:rPr>
          <w:rFonts w:hint="eastAsia" w:ascii="楷体_GB2312" w:hAnsi="Times New Roman" w:eastAsia="楷体_GB2312"/>
          <w:kern w:val="0"/>
          <w:sz w:val="32"/>
          <w:szCs w:val="32"/>
          <w:shd w:val="clear" w:color="auto" w:fill="FFFFFF"/>
        </w:rPr>
        <w:t>（一）机构组成</w:t>
      </w:r>
      <w:r>
        <w:rPr>
          <w:rFonts w:hint="eastAsia" w:ascii="仿宋_GB2312" w:hAnsi="Times New Roman" w:eastAsia="仿宋_GB2312"/>
          <w:kern w:val="0"/>
          <w:sz w:val="32"/>
          <w:szCs w:val="32"/>
          <w:shd w:val="clear" w:color="auto" w:fill="FFFFFF"/>
        </w:rPr>
        <w:t>。</w:t>
      </w:r>
      <w:r>
        <w:rPr>
          <w:rFonts w:hint="eastAsia" w:ascii="仿宋_GB2312" w:eastAsia="仿宋_GB2312"/>
          <w:sz w:val="32"/>
          <w:szCs w:val="32"/>
        </w:rPr>
        <w:t xml:space="preserve">交警支队下属二级预算单位0个，下设交警一大队、二大队、三大队、四大队、特勤大队和办公室、政工科、事故科、秩序科、宣法科、指挥中心、车管所、道安科等13个正科级单位；业务指导和监督苍溪、剑阁、旺苍、青川、元坝、朝天六个县区交警大队，本年机构情况无变化。 </w:t>
      </w:r>
    </w:p>
    <w:p w14:paraId="5DBFA105">
      <w:pPr>
        <w:autoSpaceDE w:val="0"/>
        <w:spacing w:line="560" w:lineRule="exact"/>
        <w:ind w:firstLine="640" w:firstLineChars="200"/>
        <w:rPr>
          <w:rFonts w:ascii="仿宋_GB2312" w:hAnsi="Times New Roman" w:eastAsia="仿宋_GB2312"/>
          <w:b/>
          <w:bCs/>
          <w:color w:val="000000"/>
          <w:kern w:val="0"/>
          <w:sz w:val="32"/>
          <w:szCs w:val="32"/>
          <w:shd w:val="clear" w:color="auto" w:fill="FFFFFF"/>
        </w:rPr>
      </w:pPr>
      <w:r>
        <w:rPr>
          <w:rFonts w:hint="eastAsia" w:ascii="楷体_GB2312" w:hAnsi="Times New Roman" w:eastAsia="楷体_GB2312"/>
          <w:kern w:val="0"/>
          <w:sz w:val="32"/>
          <w:szCs w:val="32"/>
          <w:shd w:val="clear" w:color="auto" w:fill="FFFFFF"/>
        </w:rPr>
        <w:t>（二）机构职能。</w:t>
      </w:r>
      <w:r>
        <w:rPr>
          <w:rFonts w:hint="eastAsia" w:ascii="仿宋_GB2312" w:eastAsia="仿宋_GB2312"/>
          <w:sz w:val="32"/>
          <w:szCs w:val="32"/>
        </w:rPr>
        <w:t>一是负责全市20031公里道路（其中国道684公里、省道1337公里、县道3017公里、乡道2445公里、村道12155公里、专用道393公里）交通安全管理，纠正交通违章，维护交通秩序，处理突发事件，配合开展警卫工作。二是负责全市机动车及非机动车注册登记、核发牌证、过户、转籍等工作；三是负责全市机动车驾驶人考试及驾驶证的核发、补发等工作；四是负责交通事故责任认定、交通安全宣传以及参与道路交通管理工作规划。</w:t>
      </w:r>
    </w:p>
    <w:p w14:paraId="76C20C30">
      <w:pPr>
        <w:autoSpaceDE w:val="0"/>
        <w:spacing w:line="560" w:lineRule="exact"/>
        <w:ind w:firstLine="640" w:firstLineChars="200"/>
        <w:rPr>
          <w:rFonts w:ascii="仿宋_GB2312" w:hAnsi="Times New Roman" w:eastAsia="仿宋_GB2312"/>
          <w:sz w:val="32"/>
          <w:szCs w:val="32"/>
        </w:rPr>
      </w:pPr>
      <w:r>
        <w:rPr>
          <w:rFonts w:hint="eastAsia" w:ascii="楷体_GB2312" w:hAnsi="Times New Roman" w:eastAsia="楷体_GB2312"/>
          <w:kern w:val="0"/>
          <w:sz w:val="32"/>
          <w:szCs w:val="32"/>
          <w:shd w:val="clear" w:color="auto" w:fill="FFFFFF"/>
        </w:rPr>
        <w:t>（三）人员概况。</w:t>
      </w:r>
      <w:r>
        <w:rPr>
          <w:rFonts w:hint="eastAsia" w:ascii="仿宋_GB2312" w:eastAsia="仿宋_GB2312"/>
          <w:bCs/>
          <w:color w:val="000000"/>
          <w:kern w:val="0"/>
          <w:sz w:val="32"/>
          <w:szCs w:val="32"/>
          <w:shd w:val="clear" w:color="auto" w:fill="FFFFFF"/>
        </w:rPr>
        <w:t>交警支队</w:t>
      </w:r>
      <w:r>
        <w:rPr>
          <w:rFonts w:hint="eastAsia" w:ascii="仿宋_GB2312" w:eastAsia="仿宋_GB2312"/>
          <w:sz w:val="32"/>
          <w:szCs w:val="32"/>
        </w:rPr>
        <w:t>截至2024年末，现有在职在编人员201人（其中：民警</w:t>
      </w:r>
      <w:r>
        <w:rPr>
          <w:rFonts w:hint="eastAsia" w:ascii="仿宋_GB2312" w:eastAsia="仿宋_GB2312"/>
          <w:color w:val="000000"/>
          <w:sz w:val="32"/>
          <w:szCs w:val="32"/>
        </w:rPr>
        <w:t>198</w:t>
      </w:r>
      <w:r>
        <w:rPr>
          <w:rFonts w:hint="eastAsia" w:ascii="仿宋_GB2312" w:eastAsia="仿宋_GB2312"/>
          <w:sz w:val="32"/>
          <w:szCs w:val="32"/>
        </w:rPr>
        <w:t>人，工勤人员3名)，辅警人员350名。</w:t>
      </w:r>
    </w:p>
    <w:p w14:paraId="70EC9947">
      <w:pPr>
        <w:autoSpaceDE w:val="0"/>
        <w:spacing w:line="560" w:lineRule="exact"/>
        <w:ind w:firstLine="640" w:firstLineChars="200"/>
        <w:rPr>
          <w:rFonts w:ascii="Times New Roman" w:hAnsi="Times New Roman" w:eastAsia="黑体"/>
          <w:kern w:val="0"/>
          <w:sz w:val="32"/>
          <w:szCs w:val="32"/>
          <w:shd w:val="clear" w:color="auto" w:fill="FFFFFF"/>
        </w:rPr>
      </w:pPr>
      <w:r>
        <w:rPr>
          <w:rFonts w:hint="eastAsia" w:ascii="黑体" w:hAnsi="黑体" w:eastAsia="黑体"/>
          <w:kern w:val="0"/>
          <w:sz w:val="32"/>
          <w:szCs w:val="32"/>
          <w:shd w:val="clear" w:color="auto" w:fill="FFFFFF"/>
        </w:rPr>
        <w:t>二、部门资金收支情况</w:t>
      </w:r>
    </w:p>
    <w:p w14:paraId="70315CA1">
      <w:pPr>
        <w:autoSpaceDE w:val="0"/>
        <w:spacing w:line="560" w:lineRule="exact"/>
        <w:ind w:firstLine="640" w:firstLineChars="200"/>
        <w:rPr>
          <w:rFonts w:ascii="Times New Roman" w:hAnsi="Times New Roman" w:eastAsia="黑体"/>
          <w:kern w:val="0"/>
          <w:sz w:val="32"/>
          <w:szCs w:val="32"/>
          <w:shd w:val="clear" w:color="auto" w:fill="FFFFFF"/>
        </w:rPr>
      </w:pPr>
      <w:r>
        <w:rPr>
          <w:rFonts w:hint="eastAsia" w:ascii="楷体_GB2312" w:hAnsi="Times New Roman" w:eastAsia="楷体_GB2312"/>
          <w:kern w:val="0"/>
          <w:sz w:val="32"/>
          <w:szCs w:val="32"/>
          <w:shd w:val="clear" w:color="auto" w:fill="FFFFFF"/>
        </w:rPr>
        <w:t>（一）收入情况。</w:t>
      </w:r>
      <w:r>
        <w:rPr>
          <w:rFonts w:hint="eastAsia" w:ascii="仿宋_GB2312" w:eastAsia="仿宋_GB2312"/>
          <w:sz w:val="32"/>
          <w:szCs w:val="32"/>
        </w:rPr>
        <w:t>交警支队2024年收入年初预算数为7799.80万元，年终决算数为10184.25元（其中：一般公共预算财政拨款收入10107.22万元，其他收入77.03万元）。</w:t>
      </w:r>
    </w:p>
    <w:p w14:paraId="47188F58">
      <w:pPr>
        <w:widowControl/>
        <w:autoSpaceDE w:val="0"/>
        <w:adjustRightInd w:val="0"/>
        <w:snapToGrid w:val="0"/>
        <w:spacing w:line="560" w:lineRule="exact"/>
        <w:ind w:firstLine="640" w:firstLineChars="200"/>
        <w:contextualSpacing/>
        <w:jc w:val="left"/>
        <w:rPr>
          <w:rFonts w:ascii="仿宋_GB2312" w:hAnsi="仿宋" w:eastAsia="仿宋_GB2312"/>
          <w:sz w:val="32"/>
          <w:szCs w:val="32"/>
        </w:rPr>
      </w:pPr>
      <w:r>
        <w:rPr>
          <w:rFonts w:hint="eastAsia" w:ascii="楷体_GB2312" w:hAnsi="Times New Roman" w:eastAsia="楷体_GB2312"/>
          <w:kern w:val="0"/>
          <w:sz w:val="32"/>
          <w:szCs w:val="32"/>
          <w:shd w:val="clear" w:color="auto" w:fill="FFFFFF"/>
        </w:rPr>
        <w:t>（二）支出情况。</w:t>
      </w:r>
      <w:r>
        <w:rPr>
          <w:rFonts w:hint="eastAsia" w:ascii="仿宋_GB2312" w:eastAsia="仿宋_GB2312"/>
          <w:sz w:val="32"/>
          <w:szCs w:val="32"/>
        </w:rPr>
        <w:t>交警支队2024年支出年初预算数为7799.80万元，年终决算数为10184.25万元（其中：基本支出8320.66万元，项目支出1863.59万元）。</w:t>
      </w:r>
    </w:p>
    <w:p w14:paraId="77180C8B">
      <w:pPr>
        <w:autoSpaceDE w:val="0"/>
        <w:adjustRightInd w:val="0"/>
        <w:snapToGrid w:val="0"/>
        <w:spacing w:line="560" w:lineRule="exact"/>
        <w:ind w:firstLine="640" w:firstLineChars="200"/>
        <w:contextualSpacing/>
        <w:jc w:val="left"/>
        <w:rPr>
          <w:rFonts w:ascii="仿宋_GB2312" w:eastAsia="仿宋_GB2312"/>
          <w:kern w:val="0"/>
          <w:sz w:val="32"/>
          <w:szCs w:val="32"/>
          <w:shd w:val="clear" w:color="auto" w:fill="FFFFFF"/>
        </w:rPr>
      </w:pPr>
      <w:r>
        <w:rPr>
          <w:rFonts w:hint="eastAsia" w:ascii="楷体_GB2312" w:hAnsi="Times New Roman" w:eastAsia="楷体_GB2312"/>
          <w:kern w:val="0"/>
          <w:sz w:val="32"/>
          <w:szCs w:val="32"/>
          <w:shd w:val="clear" w:color="auto" w:fill="FFFFFF"/>
        </w:rPr>
        <w:t>（三）</w:t>
      </w:r>
      <w:r>
        <w:rPr>
          <w:rFonts w:hint="eastAsia" w:ascii="楷体_GB2312" w:hAnsi="Times New Roman" w:eastAsia="楷体_GB2312"/>
          <w:sz w:val="32"/>
          <w:szCs w:val="32"/>
        </w:rPr>
        <w:t>结余分配和结转结余情况。</w:t>
      </w:r>
      <w:r>
        <w:rPr>
          <w:rFonts w:hint="eastAsia" w:ascii="仿宋_GB2312" w:eastAsia="仿宋_GB2312"/>
          <w:kern w:val="0"/>
          <w:sz w:val="32"/>
          <w:szCs w:val="32"/>
        </w:rPr>
        <w:t>交警支队2024年决算报表结转结余为0万元。</w:t>
      </w:r>
    </w:p>
    <w:p w14:paraId="3DE733F5">
      <w:pPr>
        <w:autoSpaceDE w:val="0"/>
        <w:adjustRightInd w:val="0"/>
        <w:snapToGrid w:val="0"/>
        <w:spacing w:line="560" w:lineRule="exact"/>
        <w:ind w:firstLine="640" w:firstLineChars="200"/>
        <w:contextualSpacing/>
        <w:jc w:val="left"/>
        <w:rPr>
          <w:rFonts w:ascii="Times New Roman" w:hAnsi="Times New Roman" w:eastAsia="黑体"/>
          <w:kern w:val="0"/>
          <w:sz w:val="32"/>
          <w:szCs w:val="32"/>
          <w:shd w:val="clear" w:color="auto" w:fill="FFFFFF"/>
        </w:rPr>
      </w:pPr>
      <w:r>
        <w:rPr>
          <w:rFonts w:hint="eastAsia" w:ascii="黑体" w:hAnsi="黑体" w:eastAsia="黑体"/>
          <w:kern w:val="0"/>
          <w:sz w:val="32"/>
          <w:szCs w:val="32"/>
          <w:shd w:val="clear" w:color="auto" w:fill="FFFFFF"/>
        </w:rPr>
        <w:t>三、部门预算绩效分析</w:t>
      </w:r>
    </w:p>
    <w:p w14:paraId="322BACA9">
      <w:pPr>
        <w:autoSpaceDE w:val="0"/>
        <w:adjustRightInd w:val="0"/>
        <w:snapToGrid w:val="0"/>
        <w:spacing w:line="560" w:lineRule="exact"/>
        <w:ind w:firstLine="640" w:firstLineChars="200"/>
        <w:contextualSpacing/>
        <w:jc w:val="left"/>
        <w:rPr>
          <w:rFonts w:ascii="仿宋_GB2312" w:eastAsia="仿宋_GB2312"/>
          <w:kern w:val="0"/>
          <w:sz w:val="32"/>
          <w:szCs w:val="32"/>
          <w:shd w:val="clear" w:color="auto" w:fill="FFFFFF"/>
        </w:rPr>
      </w:pPr>
      <w:r>
        <w:rPr>
          <w:rFonts w:hint="eastAsia" w:ascii="楷体_GB2312" w:hAnsi="Times New Roman" w:eastAsia="楷体_GB2312"/>
          <w:kern w:val="0"/>
          <w:sz w:val="32"/>
          <w:szCs w:val="32"/>
          <w:shd w:val="clear" w:color="auto" w:fill="FFFFFF"/>
        </w:rPr>
        <w:t>（一）部门预算总体绩效分析</w:t>
      </w:r>
      <w:r>
        <w:rPr>
          <w:rFonts w:hint="eastAsia" w:ascii="仿宋_GB2312" w:eastAsia="仿宋_GB2312"/>
          <w:kern w:val="0"/>
          <w:sz w:val="32"/>
          <w:szCs w:val="32"/>
        </w:rPr>
        <w:t>。</w:t>
      </w:r>
    </w:p>
    <w:p w14:paraId="5CF553FB">
      <w:pPr>
        <w:widowControl/>
        <w:autoSpaceDE w:val="0"/>
        <w:adjustRightInd w:val="0"/>
        <w:snapToGrid w:val="0"/>
        <w:spacing w:line="560" w:lineRule="exact"/>
        <w:ind w:firstLine="720"/>
        <w:jc w:val="left"/>
        <w:rPr>
          <w:rFonts w:ascii="仿宋_GB2312" w:hAnsi="宋体" w:eastAsia="仿宋_GB2312" w:cs="宋体"/>
          <w:color w:val="000000"/>
          <w:kern w:val="0"/>
          <w:sz w:val="32"/>
          <w:szCs w:val="32"/>
        </w:rPr>
      </w:pPr>
      <w:r>
        <w:rPr>
          <w:rFonts w:hint="eastAsia" w:ascii="仿宋_GB2312" w:eastAsia="仿宋_GB2312"/>
          <w:kern w:val="0"/>
          <w:sz w:val="32"/>
          <w:szCs w:val="32"/>
        </w:rPr>
        <w:t>1.履职效能（15分）。</w:t>
      </w:r>
      <w:r>
        <w:rPr>
          <w:rFonts w:hint="eastAsia" w:ascii="仿宋_GB2312" w:hAnsi="宋体" w:eastAsia="仿宋_GB2312" w:cs="宋体"/>
          <w:color w:val="000000"/>
          <w:kern w:val="0"/>
          <w:sz w:val="32"/>
          <w:szCs w:val="32"/>
        </w:rPr>
        <w:t>2024年，全市共发生一般程序道路交通事故1042起、死亡155人、受伤1229人、财产损失262.3余万元，同比分别上升5.0%、下降0.7%、下降3.3%、下降8.2%，连续144个月没有发生一起一次死亡5人的较大道路交通事故。联合开展“美丽乡村行巡回宣讲”“小手拉大手”“交通安全七进、六上”系列活动50余场次，持续提升交通参与者文明交通素养；联动媒体合成作战，警示曝光典型案例120余篇次、创作短视频200余个，达到“查处一起、教育一片、震慑一方”的良好教育警示效果。共查处交通违法85万余起，查处酒驾醉驾、无证驾驶、严重超员超载等严重交通违法4万余起，精准布控查缉重点车辆2520余辆；办理刑事案件689件，行政拘留2048人，吊销机动车驾驶证1077个。</w:t>
      </w:r>
    </w:p>
    <w:p w14:paraId="3410E564">
      <w:pPr>
        <w:widowControl/>
        <w:autoSpaceDE w:val="0"/>
        <w:adjustRightInd w:val="0"/>
        <w:snapToGrid w:val="0"/>
        <w:spacing w:line="560" w:lineRule="exact"/>
        <w:ind w:firstLine="720"/>
        <w:jc w:val="left"/>
        <w:rPr>
          <w:rFonts w:ascii="仿宋_GB2312" w:eastAsia="仿宋_GB2312"/>
          <w:kern w:val="0"/>
          <w:sz w:val="32"/>
          <w:szCs w:val="32"/>
          <w:shd w:val="clear" w:color="auto" w:fill="FFFFFF"/>
        </w:rPr>
      </w:pPr>
      <w:r>
        <w:rPr>
          <w:rFonts w:hint="eastAsia" w:ascii="仿宋_GB2312" w:hAnsi="宋体" w:eastAsia="仿宋_GB2312" w:cs="宋体"/>
          <w:color w:val="000000"/>
          <w:kern w:val="0"/>
          <w:sz w:val="32"/>
          <w:szCs w:val="32"/>
        </w:rPr>
        <w:t>2.预算管理（24.33分）。2024年严格按要求，根据上年度资金使用情况科学、合理</w:t>
      </w:r>
      <w:r>
        <w:rPr>
          <w:rFonts w:hint="eastAsia" w:ascii="仿宋_GB2312" w:eastAsia="仿宋_GB2312"/>
          <w:color w:val="000000"/>
          <w:kern w:val="0"/>
          <w:sz w:val="32"/>
          <w:szCs w:val="32"/>
          <w:shd w:val="clear" w:color="auto" w:fill="FFFFFF"/>
        </w:rPr>
        <w:t>的编制了年初部门预算，严控“三公”经费、会议、培训、差旅、办节办展、办公设备购置、信息网络及软件购置更新等8项一般性支出，严格控制支出执行进度。但</w:t>
      </w:r>
      <w:r>
        <w:rPr>
          <w:rFonts w:hint="eastAsia" w:ascii="仿宋_GB2312" w:eastAsia="仿宋_GB2312"/>
          <w:kern w:val="0"/>
          <w:sz w:val="32"/>
          <w:szCs w:val="32"/>
          <w:shd w:val="clear" w:color="auto" w:fill="FFFFFF"/>
        </w:rPr>
        <w:t>预算年终还是结转了部分资金，主要是因为项目资金下达计划较迟。</w:t>
      </w:r>
    </w:p>
    <w:p w14:paraId="47A2B225">
      <w:pPr>
        <w:widowControl/>
        <w:autoSpaceDE w:val="0"/>
        <w:adjustRightInd w:val="0"/>
        <w:snapToGrid w:val="0"/>
        <w:spacing w:line="560" w:lineRule="exact"/>
        <w:ind w:firstLine="720"/>
        <w:jc w:val="left"/>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3.财务管理（10分）。为全面实施预算绩效管理，建立科学、合理的项目支出绩效评价管理体系，提高财政资源配置效率和使用效益，我支队</w:t>
      </w:r>
      <w:r>
        <w:rPr>
          <w:rFonts w:hint="eastAsia" w:ascii="仿宋_GB2312" w:eastAsia="仿宋_GB2312"/>
          <w:kern w:val="0"/>
          <w:sz w:val="32"/>
          <w:szCs w:val="32"/>
          <w:shd w:val="clear" w:color="auto" w:fill="FFFFFF"/>
        </w:rPr>
        <w:t>制定了《部门预算绩效管理实施办法》，同时，还完善了《支队财务管理规定》暨《内部</w:t>
      </w:r>
      <w:r>
        <w:rPr>
          <w:rFonts w:hint="eastAsia" w:ascii="仿宋_GB2312" w:eastAsia="仿宋_GB2312"/>
          <w:color w:val="000000"/>
          <w:kern w:val="0"/>
          <w:sz w:val="32"/>
          <w:szCs w:val="32"/>
          <w:shd w:val="clear" w:color="auto" w:fill="FFFFFF"/>
        </w:rPr>
        <w:t>会计监督制度》,明确职责分工，提高预算绩效管理水平。</w:t>
      </w:r>
    </w:p>
    <w:p w14:paraId="1CBF2465">
      <w:pPr>
        <w:widowControl/>
        <w:autoSpaceDE w:val="0"/>
        <w:adjustRightInd w:val="0"/>
        <w:snapToGrid w:val="0"/>
        <w:spacing w:line="560" w:lineRule="exact"/>
        <w:ind w:firstLine="720"/>
        <w:jc w:val="left"/>
        <w:rPr>
          <w:rFonts w:ascii="仿宋_GB2312" w:eastAsia="仿宋_GB2312"/>
          <w:sz w:val="32"/>
          <w:szCs w:val="32"/>
        </w:rPr>
      </w:pPr>
      <w:r>
        <w:rPr>
          <w:rFonts w:hint="eastAsia" w:ascii="仿宋_GB2312" w:eastAsia="仿宋_GB2312"/>
          <w:color w:val="000000"/>
          <w:kern w:val="0"/>
          <w:sz w:val="32"/>
          <w:szCs w:val="32"/>
          <w:shd w:val="clear" w:color="auto" w:fill="FFFFFF"/>
        </w:rPr>
        <w:t>4.资产管理（9分）。支队完善了固定资产管理制度，配备有资产管理员，明确了其</w:t>
      </w:r>
      <w:r>
        <w:rPr>
          <w:rFonts w:hint="eastAsia" w:ascii="仿宋_GB2312" w:eastAsia="仿宋_GB2312"/>
          <w:sz w:val="32"/>
          <w:szCs w:val="32"/>
        </w:rPr>
        <w:t>相关职责，做到了国有资产统一登记和集中保管。同时，也加强了对资产及设备的定期巡查，对损坏的资产及设备及时的维修保养，对暂不使用的资产设备妥善保管，不断提高设备的利用率及完好率。</w:t>
      </w:r>
    </w:p>
    <w:p w14:paraId="153B7D3F">
      <w:pPr>
        <w:widowControl/>
        <w:autoSpaceDE w:val="0"/>
        <w:adjustRightInd w:val="0"/>
        <w:snapToGrid w:val="0"/>
        <w:spacing w:line="560" w:lineRule="exact"/>
        <w:ind w:firstLine="720"/>
        <w:jc w:val="left"/>
        <w:rPr>
          <w:rFonts w:ascii="仿宋_GB2312" w:eastAsia="仿宋_GB2312"/>
          <w:sz w:val="32"/>
          <w:szCs w:val="32"/>
        </w:rPr>
      </w:pPr>
      <w:r>
        <w:rPr>
          <w:rFonts w:hint="eastAsia" w:ascii="仿宋_GB2312" w:eastAsia="仿宋_GB2312"/>
          <w:sz w:val="32"/>
          <w:szCs w:val="32"/>
        </w:rPr>
        <w:t>5.采购管理（5.91分）。为确保支队各类项目规范采购和按期、优质完成，支队成立了由支队长任组长，政委任副组长，办公室主任、法宣科科长、政工科科长、办公室副主任为成员的领导小组。具体负责项目的申报、采购、建设、监管和验收，严格遵照《中华人民共和国招投标法》，凡达到政府采购标准的，全部进行公开招标和采购。2024年，我支队采购订单共计17笔，全部</w:t>
      </w:r>
      <w:r>
        <w:rPr>
          <w:rFonts w:hint="eastAsia" w:ascii="仿宋_GB2312" w:eastAsia="仿宋_GB2312"/>
          <w:color w:val="000000"/>
          <w:kern w:val="0"/>
          <w:sz w:val="32"/>
          <w:szCs w:val="32"/>
          <w:shd w:val="clear" w:color="auto" w:fill="FFFFFF"/>
        </w:rPr>
        <w:t>围绕支持中小企业发展</w:t>
      </w:r>
      <w:r>
        <w:rPr>
          <w:rFonts w:hint="eastAsia" w:ascii="仿宋_GB2312" w:eastAsia="仿宋_GB2312"/>
          <w:sz w:val="32"/>
          <w:szCs w:val="32"/>
        </w:rPr>
        <w:t>应采尽采。</w:t>
      </w:r>
    </w:p>
    <w:p w14:paraId="24BD92DD">
      <w:pPr>
        <w:widowControl/>
        <w:autoSpaceDE w:val="0"/>
        <w:adjustRightInd w:val="0"/>
        <w:snapToGri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（二）部门预算项目绩效分析</w:t>
      </w:r>
    </w:p>
    <w:p w14:paraId="48B2F43C">
      <w:pPr>
        <w:widowControl/>
        <w:autoSpaceDE w:val="0"/>
        <w:adjustRightInd w:val="0"/>
        <w:snapToGrid w:val="0"/>
        <w:spacing w:line="560" w:lineRule="exact"/>
        <w:ind w:firstLine="720"/>
        <w:jc w:val="left"/>
        <w:rPr>
          <w:rFonts w:ascii="仿宋_GB2312" w:eastAsia="仿宋_GB2312"/>
          <w:kern w:val="0"/>
          <w:sz w:val="32"/>
          <w:szCs w:val="32"/>
        </w:rPr>
      </w:pPr>
      <w:r>
        <w:rPr>
          <w:rFonts w:hint="eastAsia" w:ascii="仿宋_GB2312" w:eastAsia="仿宋_GB2312"/>
          <w:sz w:val="32"/>
          <w:szCs w:val="32"/>
        </w:rPr>
        <w:t>常年项目绩效分析。该类项目总</w:t>
      </w:r>
      <w:r>
        <w:rPr>
          <w:rFonts w:hint="eastAsia" w:ascii="仿宋_GB2312" w:eastAsia="仿宋_GB2312"/>
          <w:kern w:val="0"/>
          <w:sz w:val="32"/>
          <w:szCs w:val="32"/>
        </w:rPr>
        <w:t>数11个，涉及预算总金额4023.07万元，1—12月预算执行总体进度为92.98%，其中：预算结余率大于10%的项目共计2个，主要原因是项目资金计划下达较迟。</w:t>
      </w:r>
    </w:p>
    <w:p w14:paraId="20E68E45">
      <w:pPr>
        <w:widowControl/>
        <w:autoSpaceDE w:val="0"/>
        <w:adjustRightInd w:val="0"/>
        <w:snapToGrid w:val="0"/>
        <w:spacing w:line="560" w:lineRule="exact"/>
        <w:ind w:firstLine="720"/>
        <w:jc w:val="left"/>
        <w:rPr>
          <w:rFonts w:ascii="仿宋_GB2312" w:eastAsia="仿宋_GB2312"/>
          <w:kern w:val="0"/>
          <w:sz w:val="32"/>
          <w:szCs w:val="32"/>
        </w:rPr>
      </w:pPr>
      <w:r>
        <w:rPr>
          <w:rFonts w:hint="eastAsia" w:ascii="仿宋_GB2312" w:eastAsia="仿宋_GB2312"/>
          <w:kern w:val="0"/>
          <w:sz w:val="32"/>
          <w:szCs w:val="32"/>
        </w:rPr>
        <w:t>阶段（含一次性）项目绩效分析。该类项目总数4个，涉及预算总金额162.41万元，1—12月预算执行总体进度为99%，其中：预算结余率大于10%的项目共计0个。</w:t>
      </w:r>
    </w:p>
    <w:p w14:paraId="4D548F75">
      <w:pPr>
        <w:widowControl/>
        <w:autoSpaceDE w:val="0"/>
        <w:adjustRightInd w:val="0"/>
        <w:snapToGrid w:val="0"/>
        <w:spacing w:line="560" w:lineRule="exact"/>
        <w:ind w:firstLine="720"/>
        <w:jc w:val="left"/>
        <w:rPr>
          <w:rFonts w:ascii="仿宋_GB2312" w:eastAsia="仿宋_GB2312"/>
          <w:sz w:val="32"/>
          <w:szCs w:val="32"/>
        </w:rPr>
      </w:pPr>
      <w:r>
        <w:rPr>
          <w:rFonts w:hint="eastAsia" w:ascii="仿宋_GB2312" w:eastAsia="仿宋_GB2312"/>
          <w:kern w:val="0"/>
          <w:sz w:val="32"/>
          <w:szCs w:val="32"/>
        </w:rPr>
        <w:t>1.项目决策（11分）。</w:t>
      </w:r>
      <w:r>
        <w:rPr>
          <w:rFonts w:hint="eastAsia" w:ascii="仿宋_GB2312" w:eastAsia="仿宋_GB2312"/>
          <w:sz w:val="32"/>
          <w:szCs w:val="32"/>
        </w:rPr>
        <w:t>由科室就项目具体内容、所需资金、工作目标等形成报告，报告提交交警支队党总支会议审核，审核通过后根据财政批复情况由部门具体进行实施；</w:t>
      </w:r>
      <w:r>
        <w:rPr>
          <w:rFonts w:hint="eastAsia" w:ascii="仿宋_GB2312" w:eastAsia="仿宋_GB2312"/>
          <w:kern w:val="0"/>
          <w:sz w:val="32"/>
          <w:szCs w:val="32"/>
        </w:rPr>
        <w:t>绩效目标设置科学合理、规范完整、量化细化、与预算匹配，同</w:t>
      </w:r>
      <w:r>
        <w:rPr>
          <w:rFonts w:hint="eastAsia" w:ascii="仿宋_GB2312" w:eastAsia="仿宋_GB2312"/>
          <w:sz w:val="32"/>
          <w:szCs w:val="32"/>
        </w:rPr>
        <w:t>时，在规定时间内对项目进行入库。</w:t>
      </w:r>
    </w:p>
    <w:p w14:paraId="3E6964C7">
      <w:pPr>
        <w:widowControl/>
        <w:autoSpaceDE w:val="0"/>
        <w:adjustRightInd w:val="0"/>
        <w:snapToGrid w:val="0"/>
        <w:spacing w:line="560" w:lineRule="exact"/>
        <w:ind w:firstLine="720"/>
        <w:jc w:val="left"/>
        <w:rPr>
          <w:rFonts w:ascii="仿宋_GB2312" w:eastAsia="仿宋_GB2312"/>
          <w:sz w:val="32"/>
          <w:szCs w:val="32"/>
        </w:rPr>
      </w:pPr>
      <w:r>
        <w:rPr>
          <w:rFonts w:hint="eastAsia" w:ascii="仿宋_GB2312" w:eastAsia="仿宋_GB2312"/>
          <w:sz w:val="32"/>
          <w:szCs w:val="32"/>
        </w:rPr>
        <w:t>2.项目执行（11.46分）。按照“谁支出、谁负责”的原则，开展预算绩效日常</w:t>
      </w:r>
      <w:r>
        <w:rPr>
          <w:rFonts w:hint="eastAsia" w:ascii="仿宋_GB2312" w:eastAsia="仿宋_GB2312"/>
          <w:kern w:val="0"/>
          <w:sz w:val="32"/>
          <w:szCs w:val="32"/>
        </w:rPr>
        <w:t>监控，对项目预算执行、绩效目标完成情况进行收集汇总，及时分析研判，及时控制纠偏，形成了</w:t>
      </w:r>
      <w:r>
        <w:rPr>
          <w:rFonts w:hint="eastAsia" w:ascii="仿宋_GB2312" w:eastAsia="仿宋_GB2312"/>
          <w:sz w:val="32"/>
          <w:szCs w:val="32"/>
        </w:rPr>
        <w:t>有效监督。</w:t>
      </w:r>
    </w:p>
    <w:p w14:paraId="6FAC5E5B">
      <w:pPr>
        <w:widowControl/>
        <w:autoSpaceDE w:val="0"/>
        <w:adjustRightInd w:val="0"/>
        <w:snapToGrid w:val="0"/>
        <w:spacing w:line="560" w:lineRule="exact"/>
        <w:ind w:firstLine="720"/>
        <w:jc w:val="left"/>
        <w:rPr>
          <w:rFonts w:ascii="仿宋_GB2312" w:hAnsi="宋体" w:eastAsia="仿宋_GB2312" w:cs="宋体"/>
          <w:color w:val="000000"/>
          <w:kern w:val="0"/>
          <w:sz w:val="32"/>
          <w:szCs w:val="32"/>
        </w:rPr>
      </w:pPr>
      <w:r>
        <w:rPr>
          <w:rFonts w:hint="eastAsia" w:ascii="仿宋_GB2312" w:eastAsia="仿宋_GB2312"/>
          <w:sz w:val="32"/>
          <w:szCs w:val="32"/>
        </w:rPr>
        <w:t>3.目标实现（9.14</w:t>
      </w:r>
      <w:r>
        <w:rPr>
          <w:rFonts w:hint="eastAsia" w:ascii="仿宋_GB2312" w:eastAsia="仿宋_GB2312"/>
          <w:kern w:val="0"/>
          <w:sz w:val="32"/>
          <w:szCs w:val="32"/>
        </w:rPr>
        <w:t>分）。</w:t>
      </w:r>
      <w:r>
        <w:rPr>
          <w:rFonts w:hint="eastAsia" w:ascii="仿宋_GB2312" w:eastAsia="仿宋_GB2312"/>
          <w:b/>
          <w:bCs/>
          <w:sz w:val="32"/>
          <w:szCs w:val="32"/>
        </w:rPr>
        <w:t>一是在协警员经费使用上，</w:t>
      </w:r>
      <w:r>
        <w:rPr>
          <w:rFonts w:hint="eastAsia" w:ascii="仿宋_GB2312" w:eastAsia="仿宋_GB2312"/>
          <w:sz w:val="32"/>
          <w:szCs w:val="32"/>
        </w:rPr>
        <w:t>支队高效保障协警员的社会保险、服装、工资、办公经费、单警装备等项目支出，一方面为社会提供了部分就业岗位，另一方面，极大的缓解了警力不足，为各项公安交管工作顺利进行起到了积极作用</w:t>
      </w:r>
      <w:r>
        <w:rPr>
          <w:rFonts w:hint="eastAsia" w:ascii="仿宋_GB2312" w:eastAsia="仿宋_GB2312"/>
          <w:b/>
          <w:sz w:val="32"/>
          <w:szCs w:val="32"/>
        </w:rPr>
        <w:t>。二是</w:t>
      </w:r>
      <w:r>
        <w:rPr>
          <w:rFonts w:hint="eastAsia" w:ascii="仿宋_GB2312" w:eastAsia="仿宋_GB2312"/>
          <w:b/>
          <w:bCs/>
          <w:sz w:val="32"/>
          <w:szCs w:val="32"/>
        </w:rPr>
        <w:t>在事故车辆检测费使用上，</w:t>
      </w:r>
      <w:r>
        <w:rPr>
          <w:rFonts w:hint="eastAsia" w:ascii="仿宋_GB2312" w:eastAsia="仿宋_GB2312"/>
          <w:bCs/>
          <w:sz w:val="32"/>
          <w:szCs w:val="32"/>
        </w:rPr>
        <w:t>全年累计检测车辆443台，</w:t>
      </w:r>
      <w:r>
        <w:rPr>
          <w:rFonts w:hint="eastAsia" w:ascii="仿宋_GB2312" w:eastAsia="仿宋_GB2312"/>
          <w:sz w:val="32"/>
          <w:szCs w:val="32"/>
        </w:rPr>
        <w:t>形成了事故处理的科学合理的证据链，为公正处理事故提供了有力的证据，大大提高了交通事故责任认定的准确率</w:t>
      </w:r>
      <w:r>
        <w:rPr>
          <w:rFonts w:hint="eastAsia" w:ascii="仿宋_GB2312" w:eastAsia="仿宋_GB2312"/>
          <w:b/>
          <w:bCs/>
          <w:sz w:val="32"/>
          <w:szCs w:val="32"/>
        </w:rPr>
        <w:t>。三是在</w:t>
      </w:r>
      <w:r>
        <w:rPr>
          <w:rFonts w:hint="eastAsia" w:ascii="仿宋_GB2312" w:eastAsia="仿宋_GB2312"/>
          <w:b/>
          <w:sz w:val="32"/>
          <w:szCs w:val="32"/>
        </w:rPr>
        <w:t>车辆号牌、违法处置、驾驶证、登记证成本经费</w:t>
      </w:r>
      <w:r>
        <w:rPr>
          <w:rFonts w:hint="eastAsia" w:ascii="仿宋_GB2312" w:eastAsia="仿宋_GB2312"/>
          <w:b/>
          <w:bCs/>
          <w:sz w:val="32"/>
          <w:szCs w:val="32"/>
        </w:rPr>
        <w:t>使用上，</w:t>
      </w:r>
      <w:r>
        <w:rPr>
          <w:rFonts w:hint="eastAsia" w:ascii="仿宋_GB2312" w:eastAsia="仿宋_GB2312"/>
          <w:sz w:val="32"/>
          <w:szCs w:val="32"/>
        </w:rPr>
        <w:t>全市共查处交通违法85万余起，查处酒驾醉驾、无证驾驶、严重超员超载等严重交通违法4万余起，精准布控查缉重点车辆2520余辆；办理刑事案件689件，行政拘留2048人，吊销机动车驾驶证1077个。车管业务办理约5.58万辆，重点驾驶人审验率95.48%。</w:t>
      </w:r>
      <w:r>
        <w:rPr>
          <w:rFonts w:hint="eastAsia" w:ascii="仿宋_GB2312" w:hAnsi="Times New Roman" w:eastAsia="仿宋_GB2312"/>
          <w:b/>
          <w:color w:val="000000"/>
          <w:sz w:val="32"/>
          <w:szCs w:val="32"/>
        </w:rPr>
        <w:t>四</w:t>
      </w:r>
      <w:r>
        <w:rPr>
          <w:rFonts w:hint="eastAsia" w:ascii="仿宋_GB2312" w:hAnsi="宋体" w:eastAsia="仿宋_GB2312"/>
          <w:b/>
          <w:sz w:val="32"/>
          <w:szCs w:val="32"/>
        </w:rPr>
        <w:t>是在交通事故处理经费使用上，</w:t>
      </w:r>
      <w:r>
        <w:rPr>
          <w:rFonts w:hint="eastAsia" w:ascii="仿宋_GB2312" w:eastAsia="仿宋_GB2312"/>
          <w:sz w:val="32"/>
          <w:szCs w:val="32"/>
        </w:rPr>
        <w:t>全年全市共发生一般程序道路交通事故1042起、死亡155人、受伤1229人、财产损失262.3余万元，同比分别上升5.0%、下降0.7%、下降3.3%、下降8.2%，连续144个月没有发生一起一次死亡5人的较大道路交通事故。</w:t>
      </w:r>
      <w:r>
        <w:rPr>
          <w:rFonts w:hint="eastAsia" w:ascii="仿宋_GB2312" w:hAnsi="宋体" w:eastAsia="仿宋_GB2312"/>
          <w:b/>
          <w:sz w:val="32"/>
          <w:szCs w:val="32"/>
        </w:rPr>
        <w:t>五是在考场租赁费使用上，</w:t>
      </w:r>
      <w:r>
        <w:rPr>
          <w:rFonts w:hint="eastAsia" w:ascii="仿宋_GB2312" w:hAnsi="宋体" w:eastAsia="仿宋_GB2312"/>
          <w:sz w:val="32"/>
          <w:szCs w:val="32"/>
        </w:rPr>
        <w:t>支队完成了约11.23万人次的全科考试，利用社会资源，大大节约了经费支出。</w:t>
      </w:r>
      <w:r>
        <w:rPr>
          <w:rFonts w:hint="eastAsia" w:ascii="仿宋_GB2312" w:hAnsi="宋体" w:eastAsia="仿宋_GB2312"/>
          <w:b/>
          <w:sz w:val="32"/>
          <w:szCs w:val="32"/>
        </w:rPr>
        <w:t>六是在交通安全宣传费使用上，</w:t>
      </w:r>
      <w:r>
        <w:rPr>
          <w:rFonts w:hint="eastAsia" w:ascii="仿宋_GB2312" w:hAnsi="Times New Roman" w:eastAsia="仿宋_GB2312"/>
          <w:color w:val="000000"/>
          <w:sz w:val="32"/>
          <w:szCs w:val="32"/>
          <w:shd w:val="clear" w:color="auto" w:fill="FFFFFF"/>
        </w:rPr>
        <w:t>联合开展“美丽乡村行巡回宣讲”“小手拉大手”“交通安全七进、六上”系列活动</w:t>
      </w:r>
      <w:r>
        <w:rPr>
          <w:rFonts w:hint="eastAsia" w:ascii="Times New Roman" w:hAnsi="Times New Roman" w:eastAsia="仿宋_GB2312"/>
          <w:color w:val="000000"/>
          <w:sz w:val="32"/>
          <w:szCs w:val="32"/>
          <w:shd w:val="clear" w:color="auto" w:fill="FFFFFF"/>
        </w:rPr>
        <w:t>50</w:t>
      </w:r>
      <w:r>
        <w:rPr>
          <w:rFonts w:hint="eastAsia" w:ascii="仿宋_GB2312" w:hAnsi="Times New Roman" w:eastAsia="仿宋_GB2312"/>
          <w:color w:val="000000"/>
          <w:sz w:val="32"/>
          <w:szCs w:val="32"/>
          <w:shd w:val="clear" w:color="auto" w:fill="FFFFFF"/>
        </w:rPr>
        <w:t>余场次，持续提升交通参与者文明交通素养；联动媒体合成作战，警示曝光典型案例</w:t>
      </w:r>
      <w:r>
        <w:rPr>
          <w:rFonts w:hint="eastAsia" w:ascii="Times New Roman" w:hAnsi="Times New Roman" w:eastAsia="仿宋_GB2312"/>
          <w:color w:val="000000"/>
          <w:sz w:val="32"/>
          <w:szCs w:val="32"/>
          <w:shd w:val="clear" w:color="auto" w:fill="FFFFFF"/>
        </w:rPr>
        <w:t>120</w:t>
      </w:r>
      <w:r>
        <w:rPr>
          <w:rFonts w:hint="eastAsia" w:ascii="仿宋_GB2312" w:hAnsi="Times New Roman" w:eastAsia="仿宋_GB2312"/>
          <w:color w:val="000000"/>
          <w:sz w:val="32"/>
          <w:szCs w:val="32"/>
          <w:shd w:val="clear" w:color="auto" w:fill="FFFFFF"/>
        </w:rPr>
        <w:t>余篇次、创作短视频</w:t>
      </w:r>
      <w:r>
        <w:rPr>
          <w:rFonts w:hint="eastAsia" w:ascii="Times New Roman" w:hAnsi="Times New Roman" w:eastAsia="仿宋_GB2312"/>
          <w:color w:val="000000"/>
          <w:sz w:val="32"/>
          <w:szCs w:val="32"/>
          <w:shd w:val="clear" w:color="auto" w:fill="FFFFFF"/>
        </w:rPr>
        <w:t>200</w:t>
      </w:r>
      <w:r>
        <w:rPr>
          <w:rFonts w:hint="eastAsia" w:ascii="仿宋_GB2312" w:hAnsi="Times New Roman" w:eastAsia="仿宋_GB2312"/>
          <w:color w:val="000000"/>
          <w:sz w:val="32"/>
          <w:szCs w:val="32"/>
          <w:shd w:val="clear" w:color="auto" w:fill="FFFFFF"/>
        </w:rPr>
        <w:t>余个。</w:t>
      </w:r>
      <w:r>
        <w:rPr>
          <w:rFonts w:hint="eastAsia" w:ascii="仿宋_GB2312" w:hAnsi="宋体" w:eastAsia="仿宋_GB2312"/>
          <w:b/>
          <w:sz w:val="32"/>
          <w:szCs w:val="32"/>
        </w:rPr>
        <w:t>七是在乡村振兴工作经费使用上，</w:t>
      </w:r>
      <w:r>
        <w:rPr>
          <w:rFonts w:hint="eastAsia" w:ascii="仿宋_GB2312" w:hAnsi="宋体" w:eastAsia="仿宋_GB2312"/>
          <w:sz w:val="32"/>
          <w:szCs w:val="32"/>
        </w:rPr>
        <w:t>支队帮扶旺苍县天星乡大山村，帮助其发展养殖业，振兴产业、文化、人才和生态建设，帮扶群众47户，引进养植项目1项，使被帮扶群众生活水平、人均收入大大提高、生活环境大大改善。</w:t>
      </w:r>
      <w:r>
        <w:rPr>
          <w:rFonts w:hint="eastAsia" w:ascii="仿宋_GB2312" w:hAnsi="宋体" w:eastAsia="仿宋_GB2312"/>
          <w:b/>
          <w:sz w:val="32"/>
          <w:szCs w:val="32"/>
        </w:rPr>
        <w:t>八是在民警法定节假日加班经费使用上，</w:t>
      </w:r>
      <w:r>
        <w:rPr>
          <w:rFonts w:hint="eastAsia" w:ascii="仿宋_GB2312" w:hAnsi="宋体" w:eastAsia="仿宋_GB2312"/>
          <w:sz w:val="32"/>
          <w:szCs w:val="32"/>
        </w:rPr>
        <w:t>节假日及重点时段科学合力部署警力，打击重点违法，强化应急处置，保障了交通管理工作高效、有序运转。</w:t>
      </w:r>
      <w:r>
        <w:rPr>
          <w:rFonts w:hint="eastAsia" w:ascii="仿宋_GB2312" w:hAnsi="宋体" w:eastAsia="仿宋_GB2312"/>
          <w:b/>
          <w:sz w:val="32"/>
          <w:szCs w:val="32"/>
        </w:rPr>
        <w:t>九是</w:t>
      </w:r>
      <w:r>
        <w:rPr>
          <w:rFonts w:hint="eastAsia" w:ascii="仿宋_GB2312" w:eastAsia="仿宋_GB2312"/>
          <w:b/>
          <w:sz w:val="32"/>
          <w:szCs w:val="32"/>
        </w:rPr>
        <w:t>气相色谱仪购置</w:t>
      </w:r>
      <w:r>
        <w:rPr>
          <w:rFonts w:hint="eastAsia" w:ascii="仿宋_GB2312" w:hAnsi="宋体" w:eastAsia="仿宋_GB2312"/>
          <w:b/>
          <w:sz w:val="32"/>
          <w:szCs w:val="32"/>
        </w:rPr>
        <w:t>经费使用上，</w:t>
      </w:r>
      <w:r>
        <w:rPr>
          <w:rFonts w:hint="eastAsia" w:ascii="仿宋_GB2312" w:hAnsi="宋体" w:eastAsia="仿宋_GB2312"/>
          <w:sz w:val="32"/>
          <w:szCs w:val="32"/>
        </w:rPr>
        <w:t>通过购置该设备，能够快速、准确的测定血液中的乙醇含量，为酒驾案件提供有力的执法依据。</w:t>
      </w:r>
      <w:r>
        <w:rPr>
          <w:rFonts w:hint="eastAsia" w:ascii="仿宋_GB2312" w:hAnsi="宋体" w:eastAsia="仿宋_GB2312"/>
          <w:b/>
          <w:sz w:val="32"/>
          <w:szCs w:val="32"/>
        </w:rPr>
        <w:t>十是</w:t>
      </w:r>
      <w:r>
        <w:rPr>
          <w:rFonts w:hint="eastAsia" w:ascii="仿宋_GB2312" w:eastAsia="仿宋_GB2312"/>
          <w:b/>
          <w:sz w:val="32"/>
          <w:szCs w:val="32"/>
        </w:rPr>
        <w:t>办案补助资金使用上，</w:t>
      </w:r>
      <w:r>
        <w:rPr>
          <w:rFonts w:hint="eastAsia" w:ascii="仿宋_GB2312" w:hAnsi="宋体" w:eastAsia="仿宋_GB2312" w:cs="宋体"/>
          <w:color w:val="000000"/>
          <w:kern w:val="0"/>
          <w:sz w:val="32"/>
          <w:szCs w:val="32"/>
        </w:rPr>
        <w:t>建立“四无车辆”包保化解、村组干部任职资格背景审查等3项机制，推动消减“四无车辆”2万余台；推动开展超标电动车全链条整治，临时备案登记11.26万辆，涉电动车交通事故起数同比下降67.1%，交通违法起数环比下降8.7%。</w:t>
      </w:r>
    </w:p>
    <w:p w14:paraId="1BB3CB8A">
      <w:pPr>
        <w:widowControl/>
        <w:autoSpaceDE w:val="0"/>
        <w:adjustRightInd w:val="0"/>
        <w:snapToGrid w:val="0"/>
        <w:spacing w:line="560" w:lineRule="exact"/>
        <w:ind w:firstLine="720"/>
        <w:jc w:val="left"/>
        <w:rPr>
          <w:rFonts w:ascii="仿宋_GB2312" w:eastAsia="仿宋_GB2312"/>
          <w:kern w:val="0"/>
          <w:sz w:val="32"/>
          <w:szCs w:val="32"/>
          <w:shd w:val="clear" w:color="auto" w:fill="FFFFFF"/>
        </w:rPr>
      </w:pPr>
      <w:r>
        <w:rPr>
          <w:rFonts w:hint="eastAsia" w:ascii="仿宋_GB2312" w:hAnsi="宋体" w:eastAsia="仿宋_GB2312" w:cs="宋体"/>
          <w:color w:val="000000"/>
          <w:kern w:val="0"/>
          <w:sz w:val="32"/>
          <w:szCs w:val="32"/>
        </w:rPr>
        <w:t>（三）绩效结果应用情况</w:t>
      </w:r>
      <w:r>
        <w:rPr>
          <w:rFonts w:hint="eastAsia" w:ascii="楷体_GB2312" w:hAnsi="Times New Roman" w:eastAsia="楷体_GB2312"/>
          <w:sz w:val="32"/>
          <w:szCs w:val="32"/>
        </w:rPr>
        <w:t>。</w:t>
      </w:r>
      <w:r>
        <w:rPr>
          <w:rFonts w:hint="eastAsia" w:ascii="仿宋_GB2312" w:eastAsia="仿宋_GB2312"/>
          <w:kern w:val="0"/>
          <w:sz w:val="32"/>
          <w:szCs w:val="32"/>
          <w:shd w:val="clear" w:color="auto" w:fill="FFFFFF"/>
        </w:rPr>
        <w:t>从预算执行结果来看，支队各项目运行规范良好，在年初编报预算时，通过总支会研究审定项目绩效目标申报工作，能够充分考虑项目的差异性，使绩效目标内容完整、细化量化、标准合理，在审核时一次性通过；但部分项目绩效指标指设置不够合理，今后将充分做好前提调研工作，使绩效目标设置更加科学合理。</w:t>
      </w:r>
    </w:p>
    <w:p w14:paraId="3E8F1B90">
      <w:pPr>
        <w:widowControl/>
        <w:autoSpaceDE w:val="0"/>
        <w:adjustRightInd w:val="0"/>
        <w:snapToGrid w:val="0"/>
        <w:spacing w:line="560" w:lineRule="exact"/>
        <w:ind w:firstLine="720"/>
        <w:jc w:val="left"/>
        <w:rPr>
          <w:rFonts w:ascii="黑体" w:hAnsi="黑体" w:eastAsia="黑体"/>
          <w:kern w:val="0"/>
          <w:sz w:val="32"/>
          <w:szCs w:val="32"/>
          <w:shd w:val="clear" w:color="auto" w:fill="FFFFFF"/>
        </w:rPr>
      </w:pPr>
      <w:r>
        <w:rPr>
          <w:rFonts w:hint="eastAsia" w:ascii="黑体" w:hAnsi="黑体" w:eastAsia="黑体"/>
          <w:kern w:val="0"/>
          <w:sz w:val="32"/>
          <w:szCs w:val="32"/>
          <w:shd w:val="clear" w:color="auto" w:fill="FFFFFF"/>
        </w:rPr>
        <w:t>四、评价结论及建议</w:t>
      </w:r>
    </w:p>
    <w:p w14:paraId="09DE7A7E">
      <w:pPr>
        <w:widowControl/>
        <w:autoSpaceDE w:val="0"/>
        <w:adjustRightInd w:val="0"/>
        <w:snapToGrid w:val="0"/>
        <w:spacing w:line="560" w:lineRule="exact"/>
        <w:ind w:firstLine="720"/>
        <w:jc w:val="left"/>
        <w:rPr>
          <w:rFonts w:ascii="仿宋_GB2312" w:eastAsia="仿宋_GB2312"/>
          <w:color w:val="000000"/>
          <w:kern w:val="0"/>
          <w:sz w:val="32"/>
          <w:szCs w:val="32"/>
        </w:rPr>
      </w:pPr>
      <w:r>
        <w:rPr>
          <w:rFonts w:hint="eastAsia" w:ascii="楷体_GB2312" w:eastAsia="楷体_GB2312"/>
          <w:kern w:val="0"/>
          <w:sz w:val="32"/>
          <w:szCs w:val="32"/>
          <w:shd w:val="clear" w:color="auto" w:fill="FFFFFF"/>
        </w:rPr>
        <w:t>（一）评价结论。</w:t>
      </w:r>
      <w:r>
        <w:rPr>
          <w:rFonts w:hint="eastAsia" w:ascii="仿宋_GB2312" w:eastAsia="仿宋_GB2312"/>
          <w:kern w:val="0"/>
          <w:sz w:val="32"/>
          <w:szCs w:val="32"/>
          <w:shd w:val="clear" w:color="auto" w:fill="FFFFFF"/>
        </w:rPr>
        <w:t>2024年，我</w:t>
      </w:r>
      <w:r>
        <w:rPr>
          <w:rFonts w:hint="eastAsia" w:ascii="仿宋_GB2312" w:eastAsia="仿宋_GB2312"/>
          <w:color w:val="000000"/>
          <w:kern w:val="0"/>
          <w:sz w:val="32"/>
          <w:szCs w:val="32"/>
        </w:rPr>
        <w:t>支队从</w:t>
      </w:r>
      <w:r>
        <w:rPr>
          <w:rFonts w:hint="eastAsia" w:ascii="仿宋_GB2312" w:eastAsia="仿宋_GB2312"/>
          <w:color w:val="000000"/>
          <w:sz w:val="32"/>
          <w:szCs w:val="32"/>
        </w:rPr>
        <w:t>需求、论证、审批、实施和验收等环节着手，注重强化</w:t>
      </w:r>
      <w:r>
        <w:rPr>
          <w:rFonts w:hint="eastAsia" w:ascii="仿宋_GB2312" w:eastAsia="仿宋_GB2312"/>
          <w:color w:val="000000"/>
          <w:kern w:val="0"/>
          <w:sz w:val="32"/>
          <w:szCs w:val="32"/>
        </w:rPr>
        <w:t>项目的规划与科学论证，</w:t>
      </w:r>
      <w:r>
        <w:rPr>
          <w:rFonts w:hint="eastAsia" w:ascii="仿宋_GB2312" w:eastAsia="仿宋_GB2312"/>
          <w:color w:val="000000"/>
          <w:sz w:val="32"/>
          <w:szCs w:val="32"/>
        </w:rPr>
        <w:t>规范绩效支出项目建设，严把项目建设进度和质量关，实现流程管理模式化和标准化</w:t>
      </w:r>
      <w:r>
        <w:rPr>
          <w:rFonts w:hint="eastAsia" w:ascii="仿宋_GB2312" w:eastAsia="仿宋_GB2312"/>
          <w:color w:val="000000"/>
          <w:kern w:val="0"/>
          <w:sz w:val="32"/>
          <w:szCs w:val="32"/>
        </w:rPr>
        <w:t>；健全了资金的核算与管理制度，做到“量化到人头，落实到部门，具体到项目”，促进了财政资金的使用管理方式，极大的保障了道路交通管理。自评得分95.84分。</w:t>
      </w:r>
    </w:p>
    <w:p w14:paraId="2538E2CD">
      <w:pPr>
        <w:widowControl/>
        <w:autoSpaceDE w:val="0"/>
        <w:adjustRightInd w:val="0"/>
        <w:snapToGrid w:val="0"/>
        <w:spacing w:line="560" w:lineRule="exact"/>
        <w:ind w:firstLine="720"/>
        <w:jc w:val="left"/>
        <w:rPr>
          <w:rFonts w:ascii="仿宋_GB2312" w:eastAsia="仿宋_GB2312"/>
          <w:color w:val="000000"/>
          <w:kern w:val="0"/>
          <w:sz w:val="32"/>
          <w:szCs w:val="32"/>
        </w:rPr>
      </w:pPr>
      <w:r>
        <w:rPr>
          <w:rFonts w:hint="eastAsia" w:ascii="楷体_GB2312" w:eastAsia="楷体_GB2312"/>
          <w:color w:val="000000"/>
          <w:kern w:val="0"/>
          <w:sz w:val="32"/>
          <w:szCs w:val="32"/>
        </w:rPr>
        <w:t>（二）存在问题。一是</w:t>
      </w:r>
      <w:r>
        <w:rPr>
          <w:rFonts w:hint="eastAsia" w:ascii="仿宋_GB2312" w:eastAsia="仿宋_GB2312"/>
          <w:color w:val="000000"/>
          <w:kern w:val="0"/>
          <w:sz w:val="32"/>
          <w:szCs w:val="32"/>
        </w:rPr>
        <w:t>预算绩</w:t>
      </w:r>
      <w:r>
        <w:rPr>
          <w:rFonts w:hint="eastAsia" w:ascii="仿宋_GB2312" w:eastAsia="仿宋_GB2312"/>
          <w:sz w:val="32"/>
          <w:szCs w:val="32"/>
        </w:rPr>
        <w:t>效管理专业性较强，有时对政策、评价指标把握不到位，</w:t>
      </w:r>
      <w:r>
        <w:rPr>
          <w:rFonts w:hint="eastAsia" w:ascii="楷体_GB2312" w:eastAsia="楷体_GB2312"/>
          <w:sz w:val="32"/>
          <w:szCs w:val="32"/>
        </w:rPr>
        <w:t>二是</w:t>
      </w:r>
      <w:r>
        <w:rPr>
          <w:rFonts w:hint="eastAsia" w:ascii="仿宋_GB2312" w:eastAsia="仿宋_GB2312"/>
          <w:sz w:val="32"/>
          <w:szCs w:val="32"/>
        </w:rPr>
        <w:t>支队各业务科室与财务室</w:t>
      </w:r>
      <w:r>
        <w:rPr>
          <w:rFonts w:hint="eastAsia" w:ascii="仿宋_GB2312" w:eastAsia="仿宋_GB2312"/>
          <w:color w:val="000000"/>
          <w:kern w:val="0"/>
          <w:sz w:val="32"/>
          <w:szCs w:val="32"/>
        </w:rPr>
        <w:t>联动性较差。</w:t>
      </w:r>
    </w:p>
    <w:p w14:paraId="6E42AC83">
      <w:pPr>
        <w:widowControl/>
        <w:autoSpaceDE w:val="0"/>
        <w:adjustRightInd w:val="0"/>
        <w:snapToGrid w:val="0"/>
        <w:spacing w:line="560" w:lineRule="exact"/>
        <w:ind w:firstLine="720"/>
        <w:jc w:val="left"/>
        <w:rPr>
          <w:rFonts w:ascii="仿宋_GB2312" w:eastAsia="仿宋_GB2312"/>
          <w:sz w:val="32"/>
          <w:szCs w:val="32"/>
        </w:rPr>
      </w:pPr>
      <w:r>
        <w:rPr>
          <w:rFonts w:hint="eastAsia" w:ascii="楷体_GB2312" w:eastAsia="楷体_GB2312"/>
          <w:color w:val="000000"/>
          <w:kern w:val="0"/>
          <w:sz w:val="32"/>
          <w:szCs w:val="32"/>
        </w:rPr>
        <w:t>（三）改进建议。一是</w:t>
      </w:r>
      <w:r>
        <w:rPr>
          <w:rFonts w:hint="eastAsia" w:ascii="仿宋_GB2312" w:eastAsia="仿宋_GB2312"/>
          <w:color w:val="000000"/>
          <w:kern w:val="0"/>
          <w:sz w:val="32"/>
          <w:szCs w:val="32"/>
        </w:rPr>
        <w:t>预算绩效</w:t>
      </w:r>
      <w:r>
        <w:rPr>
          <w:rFonts w:hint="eastAsia" w:ascii="仿宋_GB2312" w:eastAsia="仿宋_GB2312"/>
          <w:sz w:val="32"/>
          <w:szCs w:val="32"/>
        </w:rPr>
        <w:t>管理工作涉及面广，需要具有综合工作能力，建议多组织相关的业务培训，学习先进单位的经验，同时，在日常工作中加强对各部门预算绩效问题的指导，提高从业人员的理论知识水平及业务能力。</w:t>
      </w:r>
      <w:r>
        <w:rPr>
          <w:rFonts w:hint="eastAsia" w:ascii="楷体_GB2312" w:eastAsia="楷体_GB2312"/>
          <w:bCs/>
          <w:sz w:val="32"/>
          <w:szCs w:val="32"/>
        </w:rPr>
        <w:t>二是</w:t>
      </w:r>
      <w:r>
        <w:rPr>
          <w:rFonts w:hint="eastAsia" w:ascii="仿宋_GB2312" w:eastAsia="仿宋_GB2312"/>
          <w:sz w:val="32"/>
          <w:szCs w:val="32"/>
        </w:rPr>
        <w:t>营造讲绩效、重绩效的浓厚氛围，在管理层扩大宣传，预算绩效工作并不是部门财务一个科室的事情，需要本部门各科室协同合作。</w:t>
      </w:r>
      <w:r>
        <w:rPr>
          <w:rFonts w:hint="eastAsia" w:ascii="楷体_GB2312" w:eastAsia="楷体_GB2312"/>
          <w:color w:val="000000"/>
          <w:kern w:val="0"/>
          <w:sz w:val="32"/>
          <w:szCs w:val="32"/>
          <w:shd w:val="clear" w:color="auto" w:fill="FFFFFF"/>
        </w:rPr>
        <w:t>三是</w:t>
      </w:r>
      <w:r>
        <w:rPr>
          <w:rFonts w:hint="eastAsia" w:ascii="仿宋_GB2312" w:eastAsia="仿宋_GB2312"/>
          <w:sz w:val="32"/>
          <w:szCs w:val="32"/>
        </w:rPr>
        <w:t>建议市财政在资金预算、项目建设等方面予以倾斜保障。</w:t>
      </w:r>
    </w:p>
    <w:p w14:paraId="5F007447">
      <w:pPr>
        <w:widowControl/>
        <w:autoSpaceDE w:val="0"/>
        <w:adjustRightInd w:val="0"/>
        <w:snapToGrid w:val="0"/>
        <w:spacing w:line="560" w:lineRule="exact"/>
        <w:ind w:firstLine="720"/>
        <w:jc w:val="left"/>
        <w:rPr>
          <w:rFonts w:ascii="仿宋_GB2312" w:eastAsia="仿宋_GB2312"/>
          <w:sz w:val="32"/>
          <w:szCs w:val="32"/>
        </w:rPr>
      </w:pPr>
      <w:r>
        <w:rPr>
          <w:rFonts w:hint="eastAsia" w:ascii="仿宋_GB2312" w:hAnsi="宋体" w:eastAsia="仿宋_GB2312"/>
          <w:sz w:val="32"/>
          <w:szCs w:val="32"/>
        </w:rPr>
        <w:t>附表：部门预算项目支出绩效自评表（</w:t>
      </w:r>
      <w:r>
        <w:rPr>
          <w:rFonts w:hint="eastAsia" w:ascii="仿宋_GB2312" w:hAnsi="Times New Roman" w:eastAsia="仿宋_GB2312"/>
          <w:sz w:val="32"/>
          <w:szCs w:val="32"/>
        </w:rPr>
        <w:t>202</w:t>
      </w:r>
      <w:r>
        <w:rPr>
          <w:rFonts w:hint="eastAsia" w:ascii="仿宋_GB2312" w:eastAsia="仿宋_GB2312"/>
          <w:sz w:val="32"/>
          <w:szCs w:val="32"/>
        </w:rPr>
        <w:t>4</w:t>
      </w:r>
      <w:r>
        <w:rPr>
          <w:rFonts w:hint="eastAsia" w:ascii="仿宋_GB2312" w:hAnsi="宋体" w:eastAsia="仿宋_GB2312"/>
          <w:sz w:val="32"/>
          <w:szCs w:val="32"/>
        </w:rPr>
        <w:t>年度）</w:t>
      </w:r>
    </w:p>
    <w:p w14:paraId="437D7578">
      <w:pPr>
        <w:autoSpaceDE w:val="0"/>
        <w:spacing w:line="560" w:lineRule="exact"/>
        <w:ind w:firstLine="3520" w:firstLineChars="1100"/>
        <w:rPr>
          <w:rFonts w:ascii="仿宋_GB2312" w:eastAsia="仿宋_GB2312"/>
          <w:sz w:val="32"/>
          <w:szCs w:val="32"/>
        </w:rPr>
      </w:pPr>
      <w:r>
        <w:rPr>
          <w:rFonts w:hint="eastAsia" w:ascii="仿宋_GB2312" w:eastAsia="仿宋_GB2312"/>
          <w:sz w:val="32"/>
          <w:szCs w:val="32"/>
        </w:rPr>
        <w:t xml:space="preserve"> </w:t>
      </w:r>
    </w:p>
    <w:p w14:paraId="2BFE0B9F">
      <w:pPr>
        <w:ind w:firstLine="420" w:firstLineChars="200"/>
      </w:pPr>
    </w:p>
    <w:p w14:paraId="5BA80014">
      <w:pPr>
        <w:ind w:firstLine="420" w:firstLineChars="200"/>
      </w:pPr>
    </w:p>
    <w:p w14:paraId="2C39B926">
      <w:pPr>
        <w:ind w:firstLine="420" w:firstLineChars="200"/>
      </w:pPr>
    </w:p>
    <w:p w14:paraId="5D9B1108">
      <w:pPr>
        <w:ind w:firstLine="420" w:firstLineChars="200"/>
      </w:pPr>
    </w:p>
    <w:p w14:paraId="0DDEE5AA">
      <w:pPr>
        <w:ind w:firstLine="420" w:firstLineChars="200"/>
      </w:pPr>
    </w:p>
    <w:p w14:paraId="015F0BB7">
      <w:pPr>
        <w:ind w:firstLine="420" w:firstLineChars="200"/>
      </w:pPr>
    </w:p>
    <w:p w14:paraId="7C632669">
      <w:pPr>
        <w:ind w:firstLine="420" w:firstLineChars="200"/>
      </w:pPr>
    </w:p>
    <w:p w14:paraId="39A4CF85">
      <w:pPr>
        <w:ind w:firstLine="420" w:firstLineChars="200"/>
      </w:pPr>
    </w:p>
    <w:p w14:paraId="5A861A5B">
      <w:pPr>
        <w:ind w:firstLine="420" w:firstLineChars="200"/>
      </w:pPr>
    </w:p>
    <w:p w14:paraId="10EDE1ED">
      <w:pPr>
        <w:ind w:firstLine="420" w:firstLineChars="200"/>
      </w:pPr>
    </w:p>
    <w:p w14:paraId="25C5F62E">
      <w:pPr>
        <w:ind w:firstLine="420" w:firstLineChars="200"/>
      </w:pPr>
    </w:p>
    <w:p w14:paraId="3CF3E977">
      <w:pPr>
        <w:ind w:firstLine="420" w:firstLineChars="200"/>
      </w:pPr>
    </w:p>
    <w:p w14:paraId="525E7298">
      <w:pPr>
        <w:ind w:firstLine="420" w:firstLineChars="200"/>
      </w:pPr>
    </w:p>
    <w:p w14:paraId="4E52B2F8">
      <w:pPr>
        <w:ind w:firstLine="420" w:firstLineChars="200"/>
      </w:pPr>
    </w:p>
    <w:p w14:paraId="18B58E84"/>
    <w:p w14:paraId="172B7D56">
      <w:pPr>
        <w:pStyle w:val="2"/>
      </w:pPr>
    </w:p>
    <w:p w14:paraId="6C2CACC0"/>
    <w:p w14:paraId="5E72FCC6">
      <w:pPr>
        <w:pStyle w:val="2"/>
      </w:pPr>
    </w:p>
    <w:p w14:paraId="24A25413">
      <w:pPr>
        <w:sectPr>
          <w:pgSz w:w="11906" w:h="16838"/>
          <w:pgMar w:top="1440" w:right="1800" w:bottom="1440" w:left="1800" w:header="851" w:footer="992" w:gutter="0"/>
          <w:pgNumType w:fmt="decimal"/>
          <w:cols w:space="425" w:num="1"/>
          <w:docGrid w:type="lines" w:linePitch="312" w:charSpace="0"/>
        </w:sectPr>
      </w:pPr>
      <w:r>
        <w:br w:type="page"/>
      </w:r>
    </w:p>
    <w:p w14:paraId="6D13F8D9">
      <w:pPr>
        <w:pStyle w:val="2"/>
      </w:pPr>
    </w:p>
    <w:p w14:paraId="2DE5DA73"/>
    <w:tbl>
      <w:tblPr>
        <w:tblW w:w="141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84"/>
        <w:gridCol w:w="2052"/>
        <w:gridCol w:w="1775"/>
        <w:gridCol w:w="2264"/>
        <w:gridCol w:w="521"/>
        <w:gridCol w:w="1677"/>
        <w:gridCol w:w="521"/>
        <w:gridCol w:w="1091"/>
        <w:gridCol w:w="505"/>
        <w:gridCol w:w="456"/>
        <w:gridCol w:w="2557"/>
      </w:tblGrid>
      <w:tr w14:paraId="2DB9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61E31FF4">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2F619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001BA19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4823424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51000021R000000019951-工资性支出</w:t>
            </w:r>
          </w:p>
        </w:tc>
      </w:tr>
      <w:tr w14:paraId="6DCCF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2096DF0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6D0D577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1F70FFE6">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458F28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1AE21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93063C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56C9A26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51EF41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3927625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476E8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24D9C75">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88501C">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280218F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156CDF91">
            <w:pPr>
              <w:keepNext w:val="0"/>
              <w:keepLines w:val="0"/>
              <w:widowControl/>
              <w:suppressLineNumbers w:val="0"/>
              <w:jc w:val="left"/>
              <w:textAlignment w:val="center"/>
              <w:rPr>
                <w:rFonts w:hint="eastAsia" w:ascii="黑体" w:hAnsi="黑体" w:eastAsia="黑体" w:cs="黑体"/>
                <w:i w:val="0"/>
                <w:iCs w:val="0"/>
                <w:color w:val="000000"/>
                <w:sz w:val="18"/>
                <w:szCs w:val="18"/>
                <w:u w:val="none"/>
                <w:lang w:val="en-US" w:eastAsia="zh-CN"/>
              </w:rPr>
            </w:pPr>
            <w:r>
              <w:rPr>
                <w:rFonts w:hint="eastAsia" w:ascii="黑体" w:hAnsi="黑体" w:eastAsia="黑体" w:cs="黑体"/>
                <w:i w:val="0"/>
                <w:iCs w:val="0"/>
                <w:color w:val="000000"/>
                <w:sz w:val="18"/>
                <w:szCs w:val="18"/>
                <w:u w:val="none"/>
                <w:lang w:val="en-US" w:eastAsia="zh-CN"/>
              </w:rPr>
              <w:t>该项经费严格按照政策保障了支队民警工资及时、足额发放。</w:t>
            </w:r>
          </w:p>
        </w:tc>
      </w:tr>
      <w:tr w14:paraId="53D2C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98ACC7C">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5D40C6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79479F5A">
            <w:pPr>
              <w:rPr>
                <w:rFonts w:hint="eastAsia" w:ascii="宋体" w:hAnsi="宋体" w:eastAsia="宋体" w:cs="宋体"/>
                <w:i w:val="0"/>
                <w:iCs w:val="0"/>
                <w:color w:val="000000"/>
                <w:sz w:val="18"/>
                <w:szCs w:val="18"/>
                <w:u w:val="none"/>
              </w:rPr>
            </w:pPr>
          </w:p>
        </w:tc>
      </w:tr>
      <w:tr w14:paraId="17137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4ADF14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ADFA6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33E54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8CF68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1DF92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9FE80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6A357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DB6C4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6F555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13AB2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81C6800">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843F7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B71CD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BA8A4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204.13</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0C6DDA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204.13</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EE463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B835D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1357F8C">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0B969B79">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9E76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0DA204C">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CA339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907F0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69D4B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204.13</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113734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204.13</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D1EBC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BD6CC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4D9A6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E75D856">
            <w:pPr>
              <w:rPr>
                <w:rFonts w:hint="eastAsia" w:ascii="黑体" w:hAnsi="黑体" w:eastAsia="黑体" w:cs="黑体"/>
                <w:i/>
                <w:iCs/>
                <w:color w:val="000000"/>
                <w:sz w:val="18"/>
                <w:szCs w:val="18"/>
                <w:u w:val="none"/>
              </w:rPr>
            </w:pPr>
          </w:p>
        </w:tc>
      </w:tr>
      <w:tr w14:paraId="0A32D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F9AED9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0A6EB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80D3F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D2B31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009B82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C9E76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6BF00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58C2A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FC49D2">
            <w:pPr>
              <w:rPr>
                <w:rFonts w:hint="eastAsia" w:ascii="黑体" w:hAnsi="黑体" w:eastAsia="黑体" w:cs="黑体"/>
                <w:i/>
                <w:iCs/>
                <w:color w:val="000000"/>
                <w:sz w:val="18"/>
                <w:szCs w:val="18"/>
                <w:u w:val="none"/>
              </w:rPr>
            </w:pPr>
          </w:p>
        </w:tc>
      </w:tr>
      <w:tr w14:paraId="54537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C1409D">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9714D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3A734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56ABC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7E3BA9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996FE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36525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56634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DCA5D3F">
            <w:pPr>
              <w:rPr>
                <w:rFonts w:hint="eastAsia" w:ascii="黑体" w:hAnsi="黑体" w:eastAsia="黑体" w:cs="黑体"/>
                <w:i/>
                <w:iCs/>
                <w:color w:val="000000"/>
                <w:sz w:val="18"/>
                <w:szCs w:val="18"/>
                <w:u w:val="none"/>
              </w:rPr>
            </w:pPr>
          </w:p>
        </w:tc>
      </w:tr>
      <w:tr w14:paraId="32F54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27FA40">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AE112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EBA6205">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FAD4502">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408557DA">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87A7C05">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33FFD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AE1D0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2CA39E8">
            <w:pPr>
              <w:rPr>
                <w:rFonts w:hint="eastAsia" w:ascii="黑体" w:hAnsi="黑体" w:eastAsia="黑体" w:cs="黑体"/>
                <w:i/>
                <w:iCs/>
                <w:color w:val="000000"/>
                <w:sz w:val="18"/>
                <w:szCs w:val="18"/>
                <w:u w:val="none"/>
              </w:rPr>
            </w:pPr>
          </w:p>
        </w:tc>
      </w:tr>
      <w:tr w14:paraId="38E76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561EA5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AF743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333A5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0E92F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B3BBA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5ACEBD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51C1C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E386A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4F238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CD068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2E65BB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5965D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84F0C44">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2A80E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69901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F0463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20012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27B625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AD3F9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4427FAD">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D057A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6ECEC0D">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6056AA4">
            <w:pPr>
              <w:jc w:val="center"/>
              <w:rPr>
                <w:rFonts w:hint="eastAsia" w:ascii="微软雅黑" w:hAnsi="微软雅黑" w:eastAsia="微软雅黑" w:cs="微软雅黑"/>
                <w:i/>
                <w:iCs/>
                <w:color w:val="000000"/>
                <w:sz w:val="16"/>
                <w:szCs w:val="16"/>
                <w:u w:val="none"/>
              </w:rPr>
            </w:pPr>
          </w:p>
        </w:tc>
      </w:tr>
      <w:tr w14:paraId="6891B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C3F4D2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43C21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5A9D2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80172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8B945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4A8229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528E22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74B18D9">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1FEDA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1F0E0B3">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997323C">
            <w:pPr>
              <w:jc w:val="center"/>
              <w:rPr>
                <w:rFonts w:hint="eastAsia" w:ascii="微软雅黑" w:hAnsi="微软雅黑" w:eastAsia="微软雅黑" w:cs="微软雅黑"/>
                <w:i/>
                <w:iCs/>
                <w:color w:val="000000"/>
                <w:sz w:val="16"/>
                <w:szCs w:val="16"/>
                <w:u w:val="none"/>
              </w:rPr>
            </w:pPr>
          </w:p>
        </w:tc>
      </w:tr>
      <w:tr w14:paraId="0F7F4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0BB483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4660C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27277F7">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3F9251C4">
            <w:pPr>
              <w:rPr>
                <w:rFonts w:hint="eastAsia" w:ascii="宋体" w:hAnsi="宋体" w:eastAsia="宋体" w:cs="宋体"/>
                <w:i w:val="0"/>
                <w:iCs w:val="0"/>
                <w:color w:val="000000"/>
                <w:sz w:val="18"/>
                <w:szCs w:val="18"/>
                <w:u w:val="none"/>
              </w:rPr>
            </w:pPr>
          </w:p>
        </w:tc>
      </w:tr>
      <w:tr w14:paraId="393A0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5A1104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61577DF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sz w:val="18"/>
                <w:szCs w:val="18"/>
                <w:u w:val="none"/>
                <w:lang w:val="en-US" w:eastAsia="zh-CN"/>
              </w:rPr>
              <w:t>该项目自评得票100分，经费严格按照政策保障了支队民警工资及时、足额发放。</w:t>
            </w:r>
          </w:p>
        </w:tc>
      </w:tr>
      <w:tr w14:paraId="34BE9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3875FA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77AEBF33">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0F056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2ED38D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4470C08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5EEB1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6793A2E0">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1C661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3A8C0E6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2B1938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51000021R000000019952-其他人员支出</w:t>
            </w:r>
          </w:p>
        </w:tc>
      </w:tr>
      <w:tr w14:paraId="384F0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054BC21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32E215D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357306E6">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658CE5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3777B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371BB8E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3926038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11A860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1474E59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4EFF3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9A915D3">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0C84428">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62EC2D4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7BB3DBD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sz w:val="18"/>
                <w:szCs w:val="18"/>
                <w:u w:val="none"/>
                <w:lang w:val="en-US" w:eastAsia="zh-CN"/>
              </w:rPr>
              <w:t>该项经费严格按照政策发放，足额、及时保障。</w:t>
            </w:r>
          </w:p>
        </w:tc>
      </w:tr>
      <w:tr w14:paraId="0D2EB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80290A0">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4CFF9D5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5809FF8C">
            <w:pPr>
              <w:rPr>
                <w:rFonts w:hint="eastAsia" w:ascii="宋体" w:hAnsi="宋体" w:eastAsia="宋体" w:cs="宋体"/>
                <w:i w:val="0"/>
                <w:iCs w:val="0"/>
                <w:color w:val="000000"/>
                <w:sz w:val="18"/>
                <w:szCs w:val="18"/>
                <w:u w:val="none"/>
              </w:rPr>
            </w:pPr>
          </w:p>
        </w:tc>
      </w:tr>
      <w:tr w14:paraId="70E21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64E74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BEA1F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405FB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1E82A2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28AC4E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8914A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E5B57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AAB68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437AA3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116A6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12B3FE">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B83ED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477A4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4EDB9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29.77</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F0215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29.77</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22F48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76ABE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225E415">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729D101C">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FFE4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E35DECA">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80146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E2653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10F0F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29.77</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07BB86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29.77</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A21AC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4C77C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A160C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5BA2507">
            <w:pPr>
              <w:rPr>
                <w:rFonts w:hint="eastAsia" w:ascii="黑体" w:hAnsi="黑体" w:eastAsia="黑体" w:cs="黑体"/>
                <w:i/>
                <w:iCs/>
                <w:color w:val="000000"/>
                <w:sz w:val="18"/>
                <w:szCs w:val="18"/>
                <w:u w:val="none"/>
              </w:rPr>
            </w:pPr>
          </w:p>
        </w:tc>
      </w:tr>
      <w:tr w14:paraId="3E1BC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1684DD">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4853B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4857A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B98E1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6741A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1E3DE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5878A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E0695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F6E278">
            <w:pPr>
              <w:rPr>
                <w:rFonts w:hint="eastAsia" w:ascii="黑体" w:hAnsi="黑体" w:eastAsia="黑体" w:cs="黑体"/>
                <w:i/>
                <w:iCs/>
                <w:color w:val="000000"/>
                <w:sz w:val="18"/>
                <w:szCs w:val="18"/>
                <w:u w:val="none"/>
              </w:rPr>
            </w:pPr>
          </w:p>
        </w:tc>
      </w:tr>
      <w:tr w14:paraId="3DE08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07EF0B6">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935FB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262E4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B8F3F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485903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713D9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05B6E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C0DCA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37BEC2">
            <w:pPr>
              <w:rPr>
                <w:rFonts w:hint="eastAsia" w:ascii="黑体" w:hAnsi="黑体" w:eastAsia="黑体" w:cs="黑体"/>
                <w:i/>
                <w:iCs/>
                <w:color w:val="000000"/>
                <w:sz w:val="18"/>
                <w:szCs w:val="18"/>
                <w:u w:val="none"/>
              </w:rPr>
            </w:pPr>
          </w:p>
        </w:tc>
      </w:tr>
      <w:tr w14:paraId="39EBE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1D0966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90939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3289209A">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FDD8388">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A8EB6C1">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7759FD8">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16D5C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4366C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EA26CD">
            <w:pPr>
              <w:rPr>
                <w:rFonts w:hint="eastAsia" w:ascii="黑体" w:hAnsi="黑体" w:eastAsia="黑体" w:cs="黑体"/>
                <w:i/>
                <w:iCs/>
                <w:color w:val="000000"/>
                <w:sz w:val="18"/>
                <w:szCs w:val="18"/>
                <w:u w:val="none"/>
              </w:rPr>
            </w:pPr>
          </w:p>
        </w:tc>
      </w:tr>
      <w:tr w14:paraId="0D968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64A3BB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B67F1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B9E24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35E88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1F888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309F7B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2B22A2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02B91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1BDA3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595EB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C97B4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0BE65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0998F4A">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15BCB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5EEBE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0602C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54D152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111E53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01BB4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AEFFEB6">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F901D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ABCF488">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5ABA1640">
            <w:pPr>
              <w:jc w:val="center"/>
              <w:rPr>
                <w:rFonts w:hint="eastAsia" w:ascii="微软雅黑" w:hAnsi="微软雅黑" w:eastAsia="微软雅黑" w:cs="微软雅黑"/>
                <w:i/>
                <w:iCs/>
                <w:color w:val="000000"/>
                <w:sz w:val="16"/>
                <w:szCs w:val="16"/>
                <w:u w:val="none"/>
              </w:rPr>
            </w:pPr>
          </w:p>
        </w:tc>
      </w:tr>
      <w:tr w14:paraId="142E3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3092A79">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46FC6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A7C87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97E25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6032EF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40883C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66F675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40BC353">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89440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F32EF12">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181CBFAF">
            <w:pPr>
              <w:jc w:val="center"/>
              <w:rPr>
                <w:rFonts w:hint="eastAsia" w:ascii="微软雅黑" w:hAnsi="微软雅黑" w:eastAsia="微软雅黑" w:cs="微软雅黑"/>
                <w:i/>
                <w:iCs/>
                <w:color w:val="000000"/>
                <w:sz w:val="16"/>
                <w:szCs w:val="16"/>
                <w:u w:val="none"/>
              </w:rPr>
            </w:pPr>
          </w:p>
        </w:tc>
      </w:tr>
      <w:tr w14:paraId="59405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74BDF5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3C8A7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A28FE60">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2BD9356">
            <w:pPr>
              <w:rPr>
                <w:rFonts w:hint="eastAsia" w:ascii="宋体" w:hAnsi="宋体" w:eastAsia="宋体" w:cs="宋体"/>
                <w:i w:val="0"/>
                <w:iCs w:val="0"/>
                <w:color w:val="000000"/>
                <w:sz w:val="18"/>
                <w:szCs w:val="18"/>
                <w:u w:val="none"/>
              </w:rPr>
            </w:pPr>
          </w:p>
        </w:tc>
      </w:tr>
      <w:tr w14:paraId="4A249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275DEA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09B2DFB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sz w:val="18"/>
                <w:szCs w:val="18"/>
                <w:u w:val="none"/>
                <w:lang w:val="en-US" w:eastAsia="zh-CN"/>
              </w:rPr>
              <w:t>该项目自评得分100分，经费严格按照政策发放，足额、及时保障。</w:t>
            </w:r>
          </w:p>
        </w:tc>
      </w:tr>
      <w:tr w14:paraId="3D1FF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429682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619960A3">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5E208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22CBE3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5F4B3F9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14:paraId="6EFE6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416AD81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62B694A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5251B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2D965837">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07EF5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27E4204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2DA7B3B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51080022R000006844873-退休“中人”一次性退休补贴</w:t>
            </w:r>
          </w:p>
        </w:tc>
      </w:tr>
      <w:tr w14:paraId="1F445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385B818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55F58A0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2D23F5FC">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16A66E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6A4EA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4296E11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771A3CF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45A05A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6676386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34B03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BEBAEBF">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1EAE9AB">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5F476F4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5E4AE2B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按照组织部等相关文件要求，足额、及时发放。</w:t>
            </w:r>
          </w:p>
        </w:tc>
      </w:tr>
      <w:tr w14:paraId="2D38E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8BCFB1A">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857AD5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0CD2F1E9">
            <w:pPr>
              <w:rPr>
                <w:rFonts w:hint="eastAsia" w:ascii="宋体" w:hAnsi="宋体" w:eastAsia="宋体" w:cs="宋体"/>
                <w:i w:val="0"/>
                <w:iCs w:val="0"/>
                <w:color w:val="000000"/>
                <w:sz w:val="18"/>
                <w:szCs w:val="18"/>
                <w:u w:val="none"/>
              </w:rPr>
            </w:pPr>
          </w:p>
        </w:tc>
      </w:tr>
      <w:tr w14:paraId="351F8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0C19F4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11677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B4984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2C794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0D8C1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E4A36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0786F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94F22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BF07A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5DEDC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5B22227">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D1155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47A11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00B4D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24.13</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08208C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24.13</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F7995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40ACA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1CA0CD4">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3477704F">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DF18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794F723">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BC292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E8CFA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6C11B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24.13</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2C03D4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24.13</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E6215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CEB1C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057C9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6E439CD">
            <w:pPr>
              <w:rPr>
                <w:rFonts w:hint="eastAsia" w:ascii="黑体" w:hAnsi="黑体" w:eastAsia="黑体" w:cs="黑体"/>
                <w:i/>
                <w:iCs/>
                <w:color w:val="000000"/>
                <w:sz w:val="18"/>
                <w:szCs w:val="18"/>
                <w:u w:val="none"/>
              </w:rPr>
            </w:pPr>
          </w:p>
        </w:tc>
      </w:tr>
      <w:tr w14:paraId="1C14B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8B64800">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83616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059D1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FF5D0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A052C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7418A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EE2C2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33920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7878D37">
            <w:pPr>
              <w:rPr>
                <w:rFonts w:hint="eastAsia" w:ascii="黑体" w:hAnsi="黑体" w:eastAsia="黑体" w:cs="黑体"/>
                <w:i/>
                <w:iCs/>
                <w:color w:val="000000"/>
                <w:sz w:val="18"/>
                <w:szCs w:val="18"/>
                <w:u w:val="none"/>
              </w:rPr>
            </w:pPr>
          </w:p>
        </w:tc>
      </w:tr>
      <w:tr w14:paraId="790F6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D808FD6">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812DA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4BF0A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B51F6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78D775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0D89E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8D439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8DACD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70EFA5A">
            <w:pPr>
              <w:rPr>
                <w:rFonts w:hint="eastAsia" w:ascii="黑体" w:hAnsi="黑体" w:eastAsia="黑体" w:cs="黑体"/>
                <w:i/>
                <w:iCs/>
                <w:color w:val="000000"/>
                <w:sz w:val="18"/>
                <w:szCs w:val="18"/>
                <w:u w:val="none"/>
              </w:rPr>
            </w:pPr>
          </w:p>
        </w:tc>
      </w:tr>
      <w:tr w14:paraId="550E7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D6E2F2D">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A412D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21FEAA6">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9E83A0C">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D7F3ACE">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5D29143">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7E036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16CF9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9600231">
            <w:pPr>
              <w:rPr>
                <w:rFonts w:hint="eastAsia" w:ascii="黑体" w:hAnsi="黑体" w:eastAsia="黑体" w:cs="黑体"/>
                <w:i/>
                <w:iCs/>
                <w:color w:val="000000"/>
                <w:sz w:val="18"/>
                <w:szCs w:val="18"/>
                <w:u w:val="none"/>
              </w:rPr>
            </w:pPr>
          </w:p>
        </w:tc>
      </w:tr>
      <w:tr w14:paraId="63DA1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195551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DEBB1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D101B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0336F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94FAB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2781C1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9D5F4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7D87F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AD000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66E9E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3B6C98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38AFF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8A8F41">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4AA252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8AB38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7CA601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6BEE43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57A857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781CD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23B49AA">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3D6EB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7B50CF4">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823C309">
            <w:pPr>
              <w:jc w:val="center"/>
              <w:rPr>
                <w:rFonts w:hint="eastAsia" w:ascii="微软雅黑" w:hAnsi="微软雅黑" w:eastAsia="微软雅黑" w:cs="微软雅黑"/>
                <w:i/>
                <w:iCs/>
                <w:color w:val="000000"/>
                <w:sz w:val="16"/>
                <w:szCs w:val="16"/>
                <w:u w:val="none"/>
              </w:rPr>
            </w:pPr>
          </w:p>
        </w:tc>
      </w:tr>
      <w:tr w14:paraId="4842D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4CADF36">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9EF3B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314407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D87DF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7FEF3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0AFCD5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55F3E6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FCE6E55">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A333E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C08812E">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2368346A">
            <w:pPr>
              <w:jc w:val="center"/>
              <w:rPr>
                <w:rFonts w:hint="eastAsia" w:ascii="微软雅黑" w:hAnsi="微软雅黑" w:eastAsia="微软雅黑" w:cs="微软雅黑"/>
                <w:i/>
                <w:iCs/>
                <w:color w:val="000000"/>
                <w:sz w:val="16"/>
                <w:szCs w:val="16"/>
                <w:u w:val="none"/>
              </w:rPr>
            </w:pPr>
          </w:p>
        </w:tc>
      </w:tr>
      <w:tr w14:paraId="3E795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7F11CE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55BD3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5492085">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6F318DAC">
            <w:pPr>
              <w:rPr>
                <w:rFonts w:hint="eastAsia" w:ascii="宋体" w:hAnsi="宋体" w:eastAsia="宋体" w:cs="宋体"/>
                <w:i w:val="0"/>
                <w:iCs w:val="0"/>
                <w:color w:val="000000"/>
                <w:sz w:val="18"/>
                <w:szCs w:val="18"/>
                <w:u w:val="none"/>
              </w:rPr>
            </w:pPr>
          </w:p>
        </w:tc>
      </w:tr>
      <w:tr w14:paraId="45994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33CE1F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2FD4BA0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该项目自评得分100分，按照组织部等相关文件要求，足额、及时发放。</w:t>
            </w:r>
          </w:p>
        </w:tc>
      </w:tr>
      <w:tr w14:paraId="4F41E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31ED30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072D1DF3">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28CA2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18C3FA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3A144D51">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lang w:eastAsia="zh-CN"/>
              </w:rPr>
            </w:pPr>
            <w:r>
              <w:rPr>
                <w:rFonts w:hint="eastAsia" w:ascii="微软雅黑" w:hAnsi="微软雅黑" w:eastAsia="微软雅黑" w:cs="微软雅黑"/>
                <w:i w:val="0"/>
                <w:iCs w:val="0"/>
                <w:color w:val="000000"/>
                <w:sz w:val="16"/>
                <w:szCs w:val="16"/>
                <w:u w:val="none"/>
                <w:lang w:eastAsia="zh-CN"/>
              </w:rPr>
              <w:t>无。</w:t>
            </w:r>
          </w:p>
        </w:tc>
      </w:tr>
      <w:tr w14:paraId="641B0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79A1673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24AC5BD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2440F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6BE868C6">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03D2C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2056D25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7622F78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51080023R000009698970-单位年度考核奖</w:t>
            </w:r>
          </w:p>
        </w:tc>
      </w:tr>
      <w:tr w14:paraId="2B0B7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10C770A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2805C42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421DA755">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70EF8B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486FB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967739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2A6FA86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4F3860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4E0371D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6675C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0A4FA0">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DFA437F">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369082C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1139336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按照组织部等相关文件要求，足额、及时发放。</w:t>
            </w:r>
          </w:p>
        </w:tc>
      </w:tr>
      <w:tr w14:paraId="2B114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D88D29">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8603D5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110CC51C">
            <w:pPr>
              <w:rPr>
                <w:rFonts w:hint="eastAsia" w:ascii="宋体" w:hAnsi="宋体" w:eastAsia="宋体" w:cs="宋体"/>
                <w:i w:val="0"/>
                <w:iCs w:val="0"/>
                <w:color w:val="000000"/>
                <w:sz w:val="18"/>
                <w:szCs w:val="18"/>
                <w:u w:val="none"/>
              </w:rPr>
            </w:pPr>
          </w:p>
        </w:tc>
      </w:tr>
      <w:tr w14:paraId="36865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7100EC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0A696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C5655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39274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606AA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F8307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B41A7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C18FE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76EF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33A10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AF954D3">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425C5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099D5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172.80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13EE7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331.86</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2CAEDB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331.86</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4617F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81E7A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7D82DEC">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5E2719C5">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E69C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4D985D1">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123B4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EA773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172.80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D9068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331.86</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2E0E20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331.86</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A3991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3BA6D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3F631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EF8CC5">
            <w:pPr>
              <w:rPr>
                <w:rFonts w:hint="eastAsia" w:ascii="黑体" w:hAnsi="黑体" w:eastAsia="黑体" w:cs="黑体"/>
                <w:i/>
                <w:iCs/>
                <w:color w:val="000000"/>
                <w:sz w:val="18"/>
                <w:szCs w:val="18"/>
                <w:u w:val="none"/>
              </w:rPr>
            </w:pPr>
          </w:p>
        </w:tc>
      </w:tr>
      <w:tr w14:paraId="67935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3FF19A1">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880FE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3F870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6DC99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CD455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6CFED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2AEBA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E3D8A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F24555">
            <w:pPr>
              <w:rPr>
                <w:rFonts w:hint="eastAsia" w:ascii="黑体" w:hAnsi="黑体" w:eastAsia="黑体" w:cs="黑体"/>
                <w:i/>
                <w:iCs/>
                <w:color w:val="000000"/>
                <w:sz w:val="18"/>
                <w:szCs w:val="18"/>
                <w:u w:val="none"/>
              </w:rPr>
            </w:pPr>
          </w:p>
        </w:tc>
      </w:tr>
      <w:tr w14:paraId="408FC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BFC1606">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62E9C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BCBB4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7754D4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1DE3CE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04FAF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C3BDF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1739C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BBBFB2">
            <w:pPr>
              <w:rPr>
                <w:rFonts w:hint="eastAsia" w:ascii="黑体" w:hAnsi="黑体" w:eastAsia="黑体" w:cs="黑体"/>
                <w:i/>
                <w:iCs/>
                <w:color w:val="000000"/>
                <w:sz w:val="18"/>
                <w:szCs w:val="18"/>
                <w:u w:val="none"/>
              </w:rPr>
            </w:pPr>
          </w:p>
        </w:tc>
      </w:tr>
      <w:tr w14:paraId="6F96F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2930FAD">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21CD4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DC402A4">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3400381">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44954463">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6BDB7EFD">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E159E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DFDF9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F929F13">
            <w:pPr>
              <w:rPr>
                <w:rFonts w:hint="eastAsia" w:ascii="黑体" w:hAnsi="黑体" w:eastAsia="黑体" w:cs="黑体"/>
                <w:i/>
                <w:iCs/>
                <w:color w:val="000000"/>
                <w:sz w:val="18"/>
                <w:szCs w:val="18"/>
                <w:u w:val="none"/>
              </w:rPr>
            </w:pPr>
          </w:p>
        </w:tc>
      </w:tr>
      <w:tr w14:paraId="3F6F3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10550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A6425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0A95F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CC32F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2838F3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273DA4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667DB4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CB269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0D368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5F007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82C12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0D3B8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8F3B1CB">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DBE10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44ADA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B817E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682B7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05E2D1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E2618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054AEBB">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AF9CA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D88F09E">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A6A677B">
            <w:pPr>
              <w:jc w:val="center"/>
              <w:rPr>
                <w:rFonts w:hint="eastAsia" w:ascii="微软雅黑" w:hAnsi="微软雅黑" w:eastAsia="微软雅黑" w:cs="微软雅黑"/>
                <w:i/>
                <w:iCs/>
                <w:color w:val="000000"/>
                <w:sz w:val="16"/>
                <w:szCs w:val="16"/>
                <w:u w:val="none"/>
              </w:rPr>
            </w:pPr>
          </w:p>
        </w:tc>
      </w:tr>
      <w:tr w14:paraId="5857E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FBA83D5">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2AC65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CBC94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901A6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424EE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1C46AE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2D4D9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D2AC29B">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A510C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FC3E134">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CE3DCD5">
            <w:pPr>
              <w:jc w:val="center"/>
              <w:rPr>
                <w:rFonts w:hint="eastAsia" w:ascii="微软雅黑" w:hAnsi="微软雅黑" w:eastAsia="微软雅黑" w:cs="微软雅黑"/>
                <w:i/>
                <w:iCs/>
                <w:color w:val="000000"/>
                <w:sz w:val="16"/>
                <w:szCs w:val="16"/>
                <w:u w:val="none"/>
              </w:rPr>
            </w:pPr>
          </w:p>
        </w:tc>
      </w:tr>
      <w:tr w14:paraId="55F01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58E0FA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EE8C0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B9E4973">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3C685EC9">
            <w:pPr>
              <w:rPr>
                <w:rFonts w:hint="eastAsia" w:ascii="宋体" w:hAnsi="宋体" w:eastAsia="宋体" w:cs="宋体"/>
                <w:i w:val="0"/>
                <w:iCs w:val="0"/>
                <w:color w:val="000000"/>
                <w:sz w:val="18"/>
                <w:szCs w:val="18"/>
                <w:u w:val="none"/>
              </w:rPr>
            </w:pPr>
          </w:p>
        </w:tc>
      </w:tr>
      <w:tr w14:paraId="28CEA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5EEEED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489E08BF">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lang w:val="en-US"/>
              </w:rPr>
            </w:pPr>
            <w:r>
              <w:rPr>
                <w:rFonts w:hint="eastAsia" w:ascii="微软雅黑" w:hAnsi="微软雅黑" w:eastAsia="微软雅黑" w:cs="微软雅黑"/>
                <w:i/>
                <w:iCs/>
                <w:color w:val="000000"/>
                <w:kern w:val="0"/>
                <w:sz w:val="16"/>
                <w:szCs w:val="16"/>
                <w:u w:val="none"/>
                <w:bdr w:val="none" w:color="auto" w:sz="0" w:space="0"/>
                <w:lang w:val="en-US" w:eastAsia="zh-CN" w:bidi="ar"/>
              </w:rPr>
              <w:t>该项目自评得分100分，</w:t>
            </w:r>
            <w:r>
              <w:rPr>
                <w:rFonts w:hint="eastAsia" w:ascii="黑体" w:hAnsi="黑体" w:eastAsia="黑体" w:cs="黑体"/>
                <w:i w:val="0"/>
                <w:iCs w:val="0"/>
                <w:color w:val="000000"/>
                <w:kern w:val="0"/>
                <w:sz w:val="18"/>
                <w:szCs w:val="18"/>
                <w:u w:val="none"/>
                <w:lang w:val="en-US" w:eastAsia="zh-CN" w:bidi="ar"/>
              </w:rPr>
              <w:t>按照组织部等相关文件要求，足额、及时发放。</w:t>
            </w:r>
          </w:p>
        </w:tc>
      </w:tr>
      <w:tr w14:paraId="60981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34611F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1582A38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74766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292BC8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344C1D5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34D15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1AF0526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51E3DAD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68F2B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153F5428">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1934C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6114B79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3A29A65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51080024R000010823060-单位缴费（在职人员五险两金）</w:t>
            </w:r>
          </w:p>
        </w:tc>
      </w:tr>
      <w:tr w14:paraId="782C7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3D415A4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56E273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307ED108">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3B4B92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787A0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39267FC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21F37FE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35430B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709ADD9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7370A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3F8537C">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404B57">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2DA643D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2857879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按照</w:t>
            </w:r>
            <w:r>
              <w:rPr>
                <w:rFonts w:ascii="宋体" w:hAnsi="宋体" w:eastAsia="宋体" w:cs="宋体"/>
                <w:i w:val="0"/>
                <w:iCs w:val="0"/>
                <w:color w:val="000000"/>
                <w:kern w:val="0"/>
                <w:sz w:val="18"/>
                <w:szCs w:val="18"/>
                <w:u w:val="none"/>
                <w:lang w:val="en-US" w:eastAsia="zh-CN" w:bidi="ar"/>
              </w:rPr>
              <w:t>相关政策</w:t>
            </w:r>
            <w:r>
              <w:rPr>
                <w:rFonts w:hint="eastAsia" w:ascii="宋体" w:hAnsi="宋体" w:cs="宋体"/>
                <w:i w:val="0"/>
                <w:iCs w:val="0"/>
                <w:color w:val="000000"/>
                <w:kern w:val="0"/>
                <w:sz w:val="18"/>
                <w:szCs w:val="18"/>
                <w:u w:val="none"/>
                <w:lang w:val="en-US" w:eastAsia="zh-CN" w:bidi="ar"/>
              </w:rPr>
              <w:t>，及时、</w:t>
            </w:r>
            <w:r>
              <w:rPr>
                <w:rFonts w:ascii="宋体" w:hAnsi="宋体" w:eastAsia="宋体" w:cs="宋体"/>
                <w:i w:val="0"/>
                <w:iCs w:val="0"/>
                <w:color w:val="000000"/>
                <w:kern w:val="0"/>
                <w:sz w:val="18"/>
                <w:szCs w:val="18"/>
                <w:u w:val="none"/>
                <w:lang w:val="en-US" w:eastAsia="zh-CN" w:bidi="ar"/>
              </w:rPr>
              <w:t>足额缴纳</w:t>
            </w:r>
            <w:r>
              <w:rPr>
                <w:rFonts w:hint="eastAsia" w:ascii="宋体" w:hAnsi="宋体" w:cs="宋体"/>
                <w:i w:val="0"/>
                <w:iCs w:val="0"/>
                <w:color w:val="000000"/>
                <w:kern w:val="0"/>
                <w:sz w:val="18"/>
                <w:szCs w:val="18"/>
                <w:u w:val="none"/>
                <w:lang w:val="en-US" w:eastAsia="zh-CN" w:bidi="ar"/>
              </w:rPr>
              <w:t>民警社保。</w:t>
            </w:r>
          </w:p>
        </w:tc>
      </w:tr>
      <w:tr w14:paraId="0AE38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888D99">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720D8C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2CA20968">
            <w:pPr>
              <w:rPr>
                <w:rFonts w:hint="eastAsia" w:ascii="宋体" w:hAnsi="宋体" w:eastAsia="宋体" w:cs="宋体"/>
                <w:i w:val="0"/>
                <w:iCs w:val="0"/>
                <w:color w:val="000000"/>
                <w:sz w:val="18"/>
                <w:szCs w:val="18"/>
                <w:u w:val="none"/>
              </w:rPr>
            </w:pPr>
          </w:p>
        </w:tc>
      </w:tr>
      <w:tr w14:paraId="21E9D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9D26D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8EABE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ABB5F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4FE65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79B64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A1452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488A5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812D8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3D34F5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38D9B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754D6D">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44424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39A21E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1,019.71</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7659DA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1,098.63</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2F0C8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1,098.63</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464E9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09CC2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6F02A8B">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4A6E1FEB">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3695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014B43">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1A533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9C7BC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1,019.71</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D6DF9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1,098.63</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2CDFC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1,098.63</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8D628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9742F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62208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ECF1DF4">
            <w:pPr>
              <w:rPr>
                <w:rFonts w:hint="eastAsia" w:ascii="黑体" w:hAnsi="黑体" w:eastAsia="黑体" w:cs="黑体"/>
                <w:i/>
                <w:iCs/>
                <w:color w:val="000000"/>
                <w:sz w:val="18"/>
                <w:szCs w:val="18"/>
                <w:u w:val="none"/>
              </w:rPr>
            </w:pPr>
          </w:p>
        </w:tc>
      </w:tr>
      <w:tr w14:paraId="4CD9C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86EC62F">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0FC8C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44BEF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04BB3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43618B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9C69B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36FBA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34950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D871BAD">
            <w:pPr>
              <w:rPr>
                <w:rFonts w:hint="eastAsia" w:ascii="黑体" w:hAnsi="黑体" w:eastAsia="黑体" w:cs="黑体"/>
                <w:i/>
                <w:iCs/>
                <w:color w:val="000000"/>
                <w:sz w:val="18"/>
                <w:szCs w:val="18"/>
                <w:u w:val="none"/>
              </w:rPr>
            </w:pPr>
          </w:p>
        </w:tc>
      </w:tr>
      <w:tr w14:paraId="213D0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1F4DE7A">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1BB55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EBFEE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D844F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41624C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2BFAA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93E0C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CFC83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464F4F5">
            <w:pPr>
              <w:rPr>
                <w:rFonts w:hint="eastAsia" w:ascii="黑体" w:hAnsi="黑体" w:eastAsia="黑体" w:cs="黑体"/>
                <w:i/>
                <w:iCs/>
                <w:color w:val="000000"/>
                <w:sz w:val="18"/>
                <w:szCs w:val="18"/>
                <w:u w:val="none"/>
              </w:rPr>
            </w:pPr>
          </w:p>
        </w:tc>
      </w:tr>
      <w:tr w14:paraId="7E1A8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B361C8E">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FC2F8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625AF27">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96A1D03">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28F6883F">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2D8DD70">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7628E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AEE52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F66A1D6">
            <w:pPr>
              <w:rPr>
                <w:rFonts w:hint="eastAsia" w:ascii="黑体" w:hAnsi="黑体" w:eastAsia="黑体" w:cs="黑体"/>
                <w:i/>
                <w:iCs/>
                <w:color w:val="000000"/>
                <w:sz w:val="18"/>
                <w:szCs w:val="18"/>
                <w:u w:val="none"/>
              </w:rPr>
            </w:pPr>
          </w:p>
        </w:tc>
      </w:tr>
      <w:tr w14:paraId="5D356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78C8A2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D21D2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F510A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46135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081C7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343E03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5C570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44828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C6E3E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2C541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5B3A6F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30EFE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54EC9C4">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053DB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DE930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D1452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2807CF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400F77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23790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A2019D1">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2901C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9CB0014">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44405154">
            <w:pPr>
              <w:jc w:val="center"/>
              <w:rPr>
                <w:rFonts w:hint="eastAsia" w:ascii="微软雅黑" w:hAnsi="微软雅黑" w:eastAsia="微软雅黑" w:cs="微软雅黑"/>
                <w:i/>
                <w:iCs/>
                <w:color w:val="000000"/>
                <w:sz w:val="16"/>
                <w:szCs w:val="16"/>
                <w:u w:val="none"/>
              </w:rPr>
            </w:pPr>
          </w:p>
        </w:tc>
      </w:tr>
      <w:tr w14:paraId="083CC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6DA53C">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84833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65AD7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70A73A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00F1B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200F2E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A2FE3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093EF97">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CE998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C2A38CC">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512AD30">
            <w:pPr>
              <w:jc w:val="center"/>
              <w:rPr>
                <w:rFonts w:hint="eastAsia" w:ascii="微软雅黑" w:hAnsi="微软雅黑" w:eastAsia="微软雅黑" w:cs="微软雅黑"/>
                <w:i/>
                <w:iCs/>
                <w:color w:val="000000"/>
                <w:sz w:val="16"/>
                <w:szCs w:val="16"/>
                <w:u w:val="none"/>
              </w:rPr>
            </w:pPr>
          </w:p>
        </w:tc>
      </w:tr>
      <w:tr w14:paraId="69059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5E7FA7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C242A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AD0273F">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1D640D3">
            <w:pPr>
              <w:rPr>
                <w:rFonts w:hint="eastAsia" w:ascii="宋体" w:hAnsi="宋体" w:eastAsia="宋体" w:cs="宋体"/>
                <w:i w:val="0"/>
                <w:iCs w:val="0"/>
                <w:color w:val="000000"/>
                <w:sz w:val="18"/>
                <w:szCs w:val="18"/>
                <w:u w:val="none"/>
              </w:rPr>
            </w:pPr>
          </w:p>
        </w:tc>
      </w:tr>
      <w:tr w14:paraId="45F4A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54B3FC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6436700A">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lang w:val="en-US"/>
              </w:rPr>
            </w:pPr>
            <w:r>
              <w:rPr>
                <w:rFonts w:hint="eastAsia" w:ascii="微软雅黑" w:hAnsi="微软雅黑" w:eastAsia="微软雅黑" w:cs="微软雅黑"/>
                <w:i/>
                <w:iCs/>
                <w:color w:val="000000"/>
                <w:kern w:val="0"/>
                <w:sz w:val="16"/>
                <w:szCs w:val="16"/>
                <w:u w:val="none"/>
                <w:bdr w:val="none" w:color="auto" w:sz="0" w:space="0"/>
                <w:lang w:val="en-US" w:eastAsia="zh-CN" w:bidi="ar"/>
              </w:rPr>
              <w:t>该项目自评得分100分，</w:t>
            </w:r>
            <w:r>
              <w:rPr>
                <w:rFonts w:hint="eastAsia" w:ascii="宋体" w:hAnsi="宋体" w:cs="宋体"/>
                <w:i w:val="0"/>
                <w:iCs w:val="0"/>
                <w:color w:val="000000"/>
                <w:kern w:val="0"/>
                <w:sz w:val="18"/>
                <w:szCs w:val="18"/>
                <w:u w:val="none"/>
                <w:lang w:val="en-US" w:eastAsia="zh-CN" w:bidi="ar"/>
              </w:rPr>
              <w:t>按照</w:t>
            </w:r>
            <w:r>
              <w:rPr>
                <w:rFonts w:ascii="宋体" w:hAnsi="宋体" w:eastAsia="宋体" w:cs="宋体"/>
                <w:i w:val="0"/>
                <w:iCs w:val="0"/>
                <w:color w:val="000000"/>
                <w:kern w:val="0"/>
                <w:sz w:val="18"/>
                <w:szCs w:val="18"/>
                <w:u w:val="none"/>
                <w:lang w:val="en-US" w:eastAsia="zh-CN" w:bidi="ar"/>
              </w:rPr>
              <w:t>相关政策</w:t>
            </w:r>
            <w:r>
              <w:rPr>
                <w:rFonts w:hint="eastAsia" w:ascii="宋体" w:hAnsi="宋体" w:cs="宋体"/>
                <w:i w:val="0"/>
                <w:iCs w:val="0"/>
                <w:color w:val="000000"/>
                <w:kern w:val="0"/>
                <w:sz w:val="18"/>
                <w:szCs w:val="18"/>
                <w:u w:val="none"/>
                <w:lang w:val="en-US" w:eastAsia="zh-CN" w:bidi="ar"/>
              </w:rPr>
              <w:t>，及时、</w:t>
            </w:r>
            <w:r>
              <w:rPr>
                <w:rFonts w:ascii="宋体" w:hAnsi="宋体" w:eastAsia="宋体" w:cs="宋体"/>
                <w:i w:val="0"/>
                <w:iCs w:val="0"/>
                <w:color w:val="000000"/>
                <w:kern w:val="0"/>
                <w:sz w:val="18"/>
                <w:szCs w:val="18"/>
                <w:u w:val="none"/>
                <w:lang w:val="en-US" w:eastAsia="zh-CN" w:bidi="ar"/>
              </w:rPr>
              <w:t>足额缴纳</w:t>
            </w:r>
            <w:r>
              <w:rPr>
                <w:rFonts w:hint="eastAsia" w:ascii="宋体" w:hAnsi="宋体" w:cs="宋体"/>
                <w:i w:val="0"/>
                <w:iCs w:val="0"/>
                <w:color w:val="000000"/>
                <w:kern w:val="0"/>
                <w:sz w:val="18"/>
                <w:szCs w:val="18"/>
                <w:u w:val="none"/>
                <w:lang w:val="en-US" w:eastAsia="zh-CN" w:bidi="ar"/>
              </w:rPr>
              <w:t>民警社保。</w:t>
            </w:r>
          </w:p>
        </w:tc>
      </w:tr>
      <w:tr w14:paraId="06B35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486AC4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64006889">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3531C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6918AF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74967343">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156EB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2BD0BAC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4EE81B8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1B747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63794B48">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6F3A0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43C878F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2CC7206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51080024R000010824550-公务员基础绩效奖</w:t>
            </w:r>
          </w:p>
        </w:tc>
      </w:tr>
      <w:tr w14:paraId="32615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63562FD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7FB7D7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18385187">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3E342A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745B3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5725F79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577745B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275925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0454864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764D8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6EEF7A">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0401031">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120B370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226A8C8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按照组织部等相关文件要求，足额、及时发放。</w:t>
            </w:r>
          </w:p>
        </w:tc>
      </w:tr>
      <w:tr w14:paraId="31E7D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9678D5B">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413022E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7380D594">
            <w:pPr>
              <w:rPr>
                <w:rFonts w:hint="eastAsia" w:ascii="宋体" w:hAnsi="宋体" w:eastAsia="宋体" w:cs="宋体"/>
                <w:i w:val="0"/>
                <w:iCs w:val="0"/>
                <w:color w:val="000000"/>
                <w:sz w:val="18"/>
                <w:szCs w:val="18"/>
                <w:u w:val="none"/>
              </w:rPr>
            </w:pPr>
          </w:p>
        </w:tc>
      </w:tr>
      <w:tr w14:paraId="0FE21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3CD8AD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DAF63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61552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EF82B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74181E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F8E59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24958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A96B9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30D6C1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0CA57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C36DF7">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C25E8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4D2A4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744.08</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39251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704.08</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98392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704.08</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BF074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BAF96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50BD9BD">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14040569">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8C64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08BDFCE">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6E09E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96226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744.08</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7960E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704.08</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7CEF04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704.08</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21518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293B8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8DFA0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3FA1D9F">
            <w:pPr>
              <w:rPr>
                <w:rFonts w:hint="eastAsia" w:ascii="黑体" w:hAnsi="黑体" w:eastAsia="黑体" w:cs="黑体"/>
                <w:i/>
                <w:iCs/>
                <w:color w:val="000000"/>
                <w:sz w:val="18"/>
                <w:szCs w:val="18"/>
                <w:u w:val="none"/>
              </w:rPr>
            </w:pPr>
          </w:p>
        </w:tc>
      </w:tr>
      <w:tr w14:paraId="4E5D9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B8760A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778F6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41F62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3D9D4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0C8DC5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12838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F7CF1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3CFC6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88D6C0B">
            <w:pPr>
              <w:rPr>
                <w:rFonts w:hint="eastAsia" w:ascii="黑体" w:hAnsi="黑体" w:eastAsia="黑体" w:cs="黑体"/>
                <w:i/>
                <w:iCs/>
                <w:color w:val="000000"/>
                <w:sz w:val="18"/>
                <w:szCs w:val="18"/>
                <w:u w:val="none"/>
              </w:rPr>
            </w:pPr>
          </w:p>
        </w:tc>
      </w:tr>
      <w:tr w14:paraId="633CD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46860F1">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49586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D19EC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1A78B2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AC8FF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DBDCC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92591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CB576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E14EECA">
            <w:pPr>
              <w:rPr>
                <w:rFonts w:hint="eastAsia" w:ascii="黑体" w:hAnsi="黑体" w:eastAsia="黑体" w:cs="黑体"/>
                <w:i/>
                <w:iCs/>
                <w:color w:val="000000"/>
                <w:sz w:val="18"/>
                <w:szCs w:val="18"/>
                <w:u w:val="none"/>
              </w:rPr>
            </w:pPr>
          </w:p>
        </w:tc>
      </w:tr>
      <w:tr w14:paraId="62EC5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8BACBCF">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3A74D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D5A94DA">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17A2CF36">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425FBF03">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6CAE1709">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6DBDE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77719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7518FE2">
            <w:pPr>
              <w:rPr>
                <w:rFonts w:hint="eastAsia" w:ascii="黑体" w:hAnsi="黑体" w:eastAsia="黑体" w:cs="黑体"/>
                <w:i/>
                <w:iCs/>
                <w:color w:val="000000"/>
                <w:sz w:val="18"/>
                <w:szCs w:val="18"/>
                <w:u w:val="none"/>
              </w:rPr>
            </w:pPr>
          </w:p>
        </w:tc>
      </w:tr>
      <w:tr w14:paraId="210E0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FCC5B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58DC8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4096D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3A48C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6401A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0DB38D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6DEA8D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BE78A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A5F0E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4F43D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3EEABB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579BF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772960C">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482C5E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FC440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DEFC1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F7672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16F385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54825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59A0A5F">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0F3A1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EBB228D">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12CABED2">
            <w:pPr>
              <w:jc w:val="center"/>
              <w:rPr>
                <w:rFonts w:hint="eastAsia" w:ascii="微软雅黑" w:hAnsi="微软雅黑" w:eastAsia="微软雅黑" w:cs="微软雅黑"/>
                <w:i/>
                <w:iCs/>
                <w:color w:val="000000"/>
                <w:sz w:val="16"/>
                <w:szCs w:val="16"/>
                <w:u w:val="none"/>
              </w:rPr>
            </w:pPr>
          </w:p>
        </w:tc>
      </w:tr>
      <w:tr w14:paraId="14270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C876C4C">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07DE8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24186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B13F1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651ABB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62A796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BA544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2C31D29">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C5B25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3621DC1">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2E15CDC8">
            <w:pPr>
              <w:jc w:val="center"/>
              <w:rPr>
                <w:rFonts w:hint="eastAsia" w:ascii="微软雅黑" w:hAnsi="微软雅黑" w:eastAsia="微软雅黑" w:cs="微软雅黑"/>
                <w:i/>
                <w:iCs/>
                <w:color w:val="000000"/>
                <w:sz w:val="16"/>
                <w:szCs w:val="16"/>
                <w:u w:val="none"/>
              </w:rPr>
            </w:pPr>
          </w:p>
        </w:tc>
      </w:tr>
      <w:tr w14:paraId="7F0C1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630A47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672FC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56CA1D9">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B7F02CF">
            <w:pPr>
              <w:rPr>
                <w:rFonts w:hint="eastAsia" w:ascii="宋体" w:hAnsi="宋体" w:eastAsia="宋体" w:cs="宋体"/>
                <w:i w:val="0"/>
                <w:iCs w:val="0"/>
                <w:color w:val="000000"/>
                <w:sz w:val="18"/>
                <w:szCs w:val="18"/>
                <w:u w:val="none"/>
              </w:rPr>
            </w:pPr>
          </w:p>
        </w:tc>
      </w:tr>
      <w:tr w14:paraId="7E674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112D8C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48369AE0">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lang w:val="en-US"/>
              </w:rPr>
            </w:pPr>
            <w:r>
              <w:rPr>
                <w:rFonts w:hint="eastAsia" w:ascii="微软雅黑" w:hAnsi="微软雅黑" w:eastAsia="微软雅黑" w:cs="微软雅黑"/>
                <w:i/>
                <w:iCs/>
                <w:color w:val="000000"/>
                <w:kern w:val="0"/>
                <w:sz w:val="16"/>
                <w:szCs w:val="16"/>
                <w:u w:val="none"/>
                <w:bdr w:val="none" w:color="auto" w:sz="0" w:space="0"/>
                <w:lang w:val="en-US" w:eastAsia="zh-CN" w:bidi="ar"/>
              </w:rPr>
              <w:t>该项目自评得分100分，</w:t>
            </w:r>
            <w:r>
              <w:rPr>
                <w:rFonts w:hint="eastAsia" w:ascii="黑体" w:hAnsi="黑体" w:eastAsia="黑体" w:cs="黑体"/>
                <w:i w:val="0"/>
                <w:iCs w:val="0"/>
                <w:color w:val="000000"/>
                <w:kern w:val="0"/>
                <w:sz w:val="18"/>
                <w:szCs w:val="18"/>
                <w:u w:val="none"/>
                <w:lang w:val="en-US" w:eastAsia="zh-CN" w:bidi="ar"/>
              </w:rPr>
              <w:t>按照组织部等相关文件要求，足额、及时发放。</w:t>
            </w:r>
          </w:p>
        </w:tc>
      </w:tr>
      <w:tr w14:paraId="0D0BE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27A123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69CA330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58629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0963C8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44B7280F">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26431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2704042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1D4E342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654D0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vAlign w:val="center"/>
          </w:tcPr>
          <w:p w14:paraId="1610DB1D">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vAlign w:val="center"/>
          </w:tcPr>
          <w:p w14:paraId="3DF048BF">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vAlign w:val="center"/>
          </w:tcPr>
          <w:p w14:paraId="0ABB6E15">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vAlign w:val="center"/>
          </w:tcPr>
          <w:p w14:paraId="2271988F">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3F6AB77F">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vAlign w:val="center"/>
          </w:tcPr>
          <w:p w14:paraId="40514A35">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31541F34">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vAlign w:val="center"/>
          </w:tcPr>
          <w:p w14:paraId="1405C871">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14:paraId="7ACDE50E">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14:paraId="1F15B248">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vAlign w:val="center"/>
          </w:tcPr>
          <w:p w14:paraId="0D97AFA9">
            <w:pPr>
              <w:rPr>
                <w:rFonts w:hint="eastAsia" w:ascii="宋体" w:hAnsi="宋体" w:eastAsia="宋体" w:cs="宋体"/>
                <w:i w:val="0"/>
                <w:iCs w:val="0"/>
                <w:color w:val="000000"/>
                <w:sz w:val="18"/>
                <w:szCs w:val="18"/>
                <w:u w:val="none"/>
              </w:rPr>
            </w:pPr>
          </w:p>
        </w:tc>
      </w:tr>
      <w:tr w14:paraId="77B07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031952C3">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0EFA8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0BFB688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118401F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51080024R000010825320-退休人员生活补（助）贴</w:t>
            </w:r>
          </w:p>
        </w:tc>
      </w:tr>
      <w:tr w14:paraId="5115C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7FA93E6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2FBCFEA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04C16CB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198C07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09ACA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4D407F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416A4AE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00DD01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692076FF">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7D189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045D97D">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573C4CD">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76C1252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03CBCAAF">
            <w:pPr>
              <w:keepNext w:val="0"/>
              <w:keepLines w:val="0"/>
              <w:widowControl/>
              <w:suppressLineNumbers w:val="0"/>
              <w:jc w:val="left"/>
              <w:textAlignment w:val="center"/>
              <w:rPr>
                <w:rFonts w:hint="eastAsia"/>
              </w:rPr>
            </w:pPr>
            <w:r>
              <w:rPr>
                <w:rFonts w:hint="eastAsia" w:ascii="黑体" w:hAnsi="黑体" w:eastAsia="黑体" w:cs="黑体"/>
                <w:i w:val="0"/>
                <w:iCs w:val="0"/>
                <w:color w:val="000000"/>
                <w:kern w:val="0"/>
                <w:sz w:val="18"/>
                <w:szCs w:val="18"/>
                <w:u w:val="none"/>
                <w:bdr w:val="none" w:color="auto" w:sz="0" w:space="0"/>
                <w:lang w:val="en-US" w:eastAsia="zh-CN" w:bidi="ar"/>
              </w:rPr>
              <w:t>按照财政等相关政策，严格、及时发放。</w:t>
            </w:r>
          </w:p>
        </w:tc>
      </w:tr>
      <w:tr w14:paraId="580B8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C73F2EA">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D7AFF5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54EDAEAA">
            <w:pPr>
              <w:rPr>
                <w:rFonts w:hint="eastAsia" w:ascii="宋体" w:hAnsi="宋体" w:eastAsia="宋体" w:cs="宋体"/>
                <w:i w:val="0"/>
                <w:iCs w:val="0"/>
                <w:color w:val="000000"/>
                <w:sz w:val="18"/>
                <w:szCs w:val="18"/>
                <w:u w:val="none"/>
              </w:rPr>
            </w:pPr>
          </w:p>
        </w:tc>
      </w:tr>
      <w:tr w14:paraId="6B3F3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6C46DB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C43C7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48859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1041B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C0D82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69B15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4CA8E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C6821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597868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1816E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D3906E7">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11959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F5D62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211.68</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BD0C6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211.68</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0AD99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211.68</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11CE7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45E32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76452F1">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29883C71">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6075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EFAB63">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F342C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F6BF5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211.68</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AA2CB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211.68</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CDD45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211.68</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A2D57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599C7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C8A3B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620B015">
            <w:pPr>
              <w:rPr>
                <w:rFonts w:hint="eastAsia" w:ascii="黑体" w:hAnsi="黑体" w:eastAsia="黑体" w:cs="黑体"/>
                <w:i/>
                <w:iCs/>
                <w:color w:val="000000"/>
                <w:sz w:val="18"/>
                <w:szCs w:val="18"/>
                <w:u w:val="none"/>
              </w:rPr>
            </w:pPr>
          </w:p>
        </w:tc>
      </w:tr>
      <w:tr w14:paraId="5ED69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3DE2607">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9707D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779A2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12FF30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1A1266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610F8E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E5C02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F879F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0782A70">
            <w:pPr>
              <w:rPr>
                <w:rFonts w:hint="eastAsia" w:ascii="黑体" w:hAnsi="黑体" w:eastAsia="黑体" w:cs="黑体"/>
                <w:i/>
                <w:iCs/>
                <w:color w:val="000000"/>
                <w:sz w:val="18"/>
                <w:szCs w:val="18"/>
                <w:u w:val="none"/>
              </w:rPr>
            </w:pPr>
          </w:p>
        </w:tc>
      </w:tr>
      <w:tr w14:paraId="63385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B8DD2B0">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5B31F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46FDA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76FB00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6A396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A9E27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237EB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37604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0CA9DCE">
            <w:pPr>
              <w:rPr>
                <w:rFonts w:hint="eastAsia" w:ascii="黑体" w:hAnsi="黑体" w:eastAsia="黑体" w:cs="黑体"/>
                <w:i/>
                <w:iCs/>
                <w:color w:val="000000"/>
                <w:sz w:val="18"/>
                <w:szCs w:val="18"/>
                <w:u w:val="none"/>
              </w:rPr>
            </w:pPr>
          </w:p>
        </w:tc>
      </w:tr>
      <w:tr w14:paraId="4BC49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A1E7BF5">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7C0C0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87D0AEA">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78499C59">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5B945F1">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C5AF04D">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8B3A3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76855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56C0F51">
            <w:pPr>
              <w:rPr>
                <w:rFonts w:hint="eastAsia" w:ascii="黑体" w:hAnsi="黑体" w:eastAsia="黑体" w:cs="黑体"/>
                <w:i/>
                <w:iCs/>
                <w:color w:val="000000"/>
                <w:sz w:val="18"/>
                <w:szCs w:val="18"/>
                <w:u w:val="none"/>
              </w:rPr>
            </w:pPr>
          </w:p>
        </w:tc>
      </w:tr>
      <w:tr w14:paraId="38AC4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4EA39D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91B0A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51699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8E241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FF20F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79A117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4A89B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B61A2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7088B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7A8F9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30ABFD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34A8A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70634EB">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CF433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1CEE4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D330F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C1F0A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43D65F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B40D0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B07D9EA">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76B11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7B4CB14">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56F881D">
            <w:pPr>
              <w:jc w:val="center"/>
              <w:rPr>
                <w:rFonts w:hint="eastAsia" w:ascii="微软雅黑" w:hAnsi="微软雅黑" w:eastAsia="微软雅黑" w:cs="微软雅黑"/>
                <w:i/>
                <w:iCs/>
                <w:color w:val="000000"/>
                <w:sz w:val="16"/>
                <w:szCs w:val="16"/>
                <w:u w:val="none"/>
              </w:rPr>
            </w:pPr>
          </w:p>
        </w:tc>
      </w:tr>
      <w:tr w14:paraId="22112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6E3E4F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B94A3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4384E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4034E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5C9DD4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517CD4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47283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027B694">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CCCB2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3B8A397">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E07076B">
            <w:pPr>
              <w:jc w:val="center"/>
              <w:rPr>
                <w:rFonts w:hint="eastAsia" w:ascii="微软雅黑" w:hAnsi="微软雅黑" w:eastAsia="微软雅黑" w:cs="微软雅黑"/>
                <w:i/>
                <w:iCs/>
                <w:color w:val="000000"/>
                <w:sz w:val="16"/>
                <w:szCs w:val="16"/>
                <w:u w:val="none"/>
              </w:rPr>
            </w:pPr>
          </w:p>
        </w:tc>
      </w:tr>
      <w:tr w14:paraId="3FCA7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304E68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247E6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7EAF390">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6CE7997E">
            <w:pPr>
              <w:rPr>
                <w:rFonts w:hint="eastAsia" w:ascii="宋体" w:hAnsi="宋体" w:eastAsia="宋体" w:cs="宋体"/>
                <w:i w:val="0"/>
                <w:iCs w:val="0"/>
                <w:color w:val="000000"/>
                <w:sz w:val="18"/>
                <w:szCs w:val="18"/>
                <w:u w:val="none"/>
              </w:rPr>
            </w:pPr>
          </w:p>
        </w:tc>
      </w:tr>
      <w:tr w14:paraId="52F9C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2A00D1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1B2E5741">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lang w:val="en-US"/>
              </w:rPr>
            </w:pPr>
            <w:r>
              <w:rPr>
                <w:rFonts w:hint="eastAsia" w:ascii="微软雅黑" w:hAnsi="微软雅黑" w:eastAsia="微软雅黑" w:cs="微软雅黑"/>
                <w:i/>
                <w:iCs/>
                <w:color w:val="000000"/>
                <w:kern w:val="0"/>
                <w:sz w:val="16"/>
                <w:szCs w:val="16"/>
                <w:u w:val="none"/>
                <w:bdr w:val="none" w:color="auto" w:sz="0" w:space="0"/>
                <w:lang w:val="en-US" w:eastAsia="zh-CN" w:bidi="ar"/>
              </w:rPr>
              <w:t>该项目自评得分100分，</w:t>
            </w:r>
            <w:r>
              <w:rPr>
                <w:rFonts w:hint="eastAsia" w:ascii="黑体" w:hAnsi="黑体" w:eastAsia="黑体" w:cs="黑体"/>
                <w:i w:val="0"/>
                <w:iCs w:val="0"/>
                <w:color w:val="000000"/>
                <w:kern w:val="0"/>
                <w:sz w:val="18"/>
                <w:szCs w:val="18"/>
                <w:u w:val="none"/>
                <w:lang w:val="en-US" w:eastAsia="zh-CN" w:bidi="ar"/>
              </w:rPr>
              <w:t>按照财政等相关政策，严格、及时发放。</w:t>
            </w:r>
          </w:p>
        </w:tc>
      </w:tr>
      <w:tr w14:paraId="31FFD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281365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2176F71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0987F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32F6F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507DE57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4432F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2324618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20E9CD7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08A12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vAlign w:val="center"/>
          </w:tcPr>
          <w:p w14:paraId="5E10D400">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vAlign w:val="center"/>
          </w:tcPr>
          <w:p w14:paraId="485A79F5">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vAlign w:val="center"/>
          </w:tcPr>
          <w:p w14:paraId="1DD4FE73">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vAlign w:val="center"/>
          </w:tcPr>
          <w:p w14:paraId="26D90728">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07812598">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vAlign w:val="center"/>
          </w:tcPr>
          <w:p w14:paraId="19BADC6C">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5347436F">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vAlign w:val="center"/>
          </w:tcPr>
          <w:p w14:paraId="51939171">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14:paraId="4137D7F6">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14:paraId="651E7F71">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vAlign w:val="center"/>
          </w:tcPr>
          <w:p w14:paraId="1125EE0C">
            <w:pPr>
              <w:rPr>
                <w:rFonts w:hint="eastAsia" w:ascii="宋体" w:hAnsi="宋体" w:eastAsia="宋体" w:cs="宋体"/>
                <w:i w:val="0"/>
                <w:iCs w:val="0"/>
                <w:color w:val="000000"/>
                <w:sz w:val="18"/>
                <w:szCs w:val="18"/>
                <w:u w:val="none"/>
              </w:rPr>
            </w:pPr>
          </w:p>
        </w:tc>
      </w:tr>
      <w:tr w14:paraId="33260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193B5130">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4A6F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479FF49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59DDBBF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51080024R000010825886-遗属生活补助</w:t>
            </w:r>
          </w:p>
        </w:tc>
      </w:tr>
      <w:tr w14:paraId="01267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701E5EC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3646B28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4C263CA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11DAED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04960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12E1638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2840D0E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05BFA7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4FBCF54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4D7EA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6B6958">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09B9BDB">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273432C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198E46A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严格按照规定足额发放。</w:t>
            </w:r>
          </w:p>
        </w:tc>
      </w:tr>
      <w:tr w14:paraId="4718A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DA094A4">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47BCA8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1285D660">
            <w:pPr>
              <w:rPr>
                <w:rFonts w:hint="eastAsia" w:ascii="宋体" w:hAnsi="宋体" w:eastAsia="宋体" w:cs="宋体"/>
                <w:i w:val="0"/>
                <w:iCs w:val="0"/>
                <w:color w:val="000000"/>
                <w:sz w:val="18"/>
                <w:szCs w:val="18"/>
                <w:u w:val="none"/>
              </w:rPr>
            </w:pPr>
          </w:p>
        </w:tc>
      </w:tr>
      <w:tr w14:paraId="0548E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5193BA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BB10A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AD27F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0AACE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1EE666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28DF1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64FC2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C40B0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6E7CE4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23751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FD1BC1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4CAF1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7A439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19.07</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CEDB6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19.07</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1E6ECA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19.07</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C8DCF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F0A06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C88E6AC">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52D99A01">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7E3A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1EBE4F3">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0387A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8AFD8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19.07</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9CCE3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19.07</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76D3E8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19.07</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CCE9D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3EB83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C50F9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A39BCB8">
            <w:pPr>
              <w:rPr>
                <w:rFonts w:hint="eastAsia" w:ascii="黑体" w:hAnsi="黑体" w:eastAsia="黑体" w:cs="黑体"/>
                <w:i/>
                <w:iCs/>
                <w:color w:val="000000"/>
                <w:sz w:val="18"/>
                <w:szCs w:val="18"/>
                <w:u w:val="none"/>
              </w:rPr>
            </w:pPr>
          </w:p>
        </w:tc>
      </w:tr>
      <w:tr w14:paraId="65FEA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F291790">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FB54B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021AF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E1ED1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0BDA5C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2FD67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AF994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D87DE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DB3BA62">
            <w:pPr>
              <w:rPr>
                <w:rFonts w:hint="eastAsia" w:ascii="黑体" w:hAnsi="黑体" w:eastAsia="黑体" w:cs="黑体"/>
                <w:i/>
                <w:iCs/>
                <w:color w:val="000000"/>
                <w:sz w:val="18"/>
                <w:szCs w:val="18"/>
                <w:u w:val="none"/>
              </w:rPr>
            </w:pPr>
          </w:p>
        </w:tc>
      </w:tr>
      <w:tr w14:paraId="074B8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508812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D276A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28789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586F1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1ADCD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00EAB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AF88F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D6E34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39C79E6">
            <w:pPr>
              <w:rPr>
                <w:rFonts w:hint="eastAsia" w:ascii="黑体" w:hAnsi="黑体" w:eastAsia="黑体" w:cs="黑体"/>
                <w:i/>
                <w:iCs/>
                <w:color w:val="000000"/>
                <w:sz w:val="18"/>
                <w:szCs w:val="18"/>
                <w:u w:val="none"/>
              </w:rPr>
            </w:pPr>
          </w:p>
        </w:tc>
      </w:tr>
      <w:tr w14:paraId="02561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5B1FE46">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EE91E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7A20300">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A880B9E">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E4471EA">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023A95C">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E7FCB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2441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6D4AB7F">
            <w:pPr>
              <w:rPr>
                <w:rFonts w:hint="eastAsia" w:ascii="黑体" w:hAnsi="黑体" w:eastAsia="黑体" w:cs="黑体"/>
                <w:i/>
                <w:iCs/>
                <w:color w:val="000000"/>
                <w:sz w:val="18"/>
                <w:szCs w:val="18"/>
                <w:u w:val="none"/>
              </w:rPr>
            </w:pPr>
          </w:p>
        </w:tc>
      </w:tr>
      <w:tr w14:paraId="00924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1A5BE9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A3E05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D92FE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D5381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93CC6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0877C6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21F43C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7B6EC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F0032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BB10E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506F1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11124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77D481">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3703D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E8EAD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C2BCD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7C520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5FC353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95995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9207DA9">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5D54C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AE2B4E3">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6EFCB48">
            <w:pPr>
              <w:jc w:val="center"/>
              <w:rPr>
                <w:rFonts w:hint="eastAsia" w:ascii="微软雅黑" w:hAnsi="微软雅黑" w:eastAsia="微软雅黑" w:cs="微软雅黑"/>
                <w:i/>
                <w:iCs/>
                <w:color w:val="000000"/>
                <w:sz w:val="16"/>
                <w:szCs w:val="16"/>
                <w:u w:val="none"/>
              </w:rPr>
            </w:pPr>
          </w:p>
        </w:tc>
      </w:tr>
      <w:tr w14:paraId="6D251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DFC00CE">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FA2B0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AA6D2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A86FF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CF4B7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1E1EA6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590155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6E78CBD">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A8F3D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4EBB30F">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6358B5EF">
            <w:pPr>
              <w:jc w:val="center"/>
              <w:rPr>
                <w:rFonts w:hint="eastAsia" w:ascii="微软雅黑" w:hAnsi="微软雅黑" w:eastAsia="微软雅黑" w:cs="微软雅黑"/>
                <w:i/>
                <w:iCs/>
                <w:color w:val="000000"/>
                <w:sz w:val="16"/>
                <w:szCs w:val="16"/>
                <w:u w:val="none"/>
              </w:rPr>
            </w:pPr>
          </w:p>
        </w:tc>
      </w:tr>
      <w:tr w14:paraId="6BCB6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01113A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CB7C0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D48582F">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4B9C53CD">
            <w:pPr>
              <w:rPr>
                <w:rFonts w:hint="eastAsia" w:ascii="宋体" w:hAnsi="宋体" w:eastAsia="宋体" w:cs="宋体"/>
                <w:i w:val="0"/>
                <w:iCs w:val="0"/>
                <w:color w:val="000000"/>
                <w:sz w:val="18"/>
                <w:szCs w:val="18"/>
                <w:u w:val="none"/>
              </w:rPr>
            </w:pPr>
          </w:p>
        </w:tc>
      </w:tr>
      <w:tr w14:paraId="01F91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40A5FB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59C0858E">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lang w:val="en-US"/>
              </w:rPr>
            </w:pPr>
            <w:r>
              <w:rPr>
                <w:rFonts w:hint="eastAsia" w:ascii="微软雅黑" w:hAnsi="微软雅黑" w:eastAsia="微软雅黑" w:cs="微软雅黑"/>
                <w:i/>
                <w:iCs/>
                <w:color w:val="000000"/>
                <w:kern w:val="0"/>
                <w:sz w:val="16"/>
                <w:szCs w:val="16"/>
                <w:u w:val="none"/>
                <w:bdr w:val="none" w:color="auto" w:sz="0" w:space="0"/>
                <w:lang w:val="en-US" w:eastAsia="zh-CN" w:bidi="ar"/>
              </w:rPr>
              <w:t>该项目自评得分100分，</w:t>
            </w:r>
            <w:r>
              <w:rPr>
                <w:rFonts w:hint="eastAsia" w:ascii="黑体" w:hAnsi="黑体" w:eastAsia="黑体" w:cs="黑体"/>
                <w:i w:val="0"/>
                <w:iCs w:val="0"/>
                <w:color w:val="000000"/>
                <w:kern w:val="0"/>
                <w:sz w:val="18"/>
                <w:szCs w:val="18"/>
                <w:u w:val="none"/>
                <w:lang w:val="en-US" w:eastAsia="zh-CN" w:bidi="ar"/>
              </w:rPr>
              <w:t>严格按照规定足额发放。</w:t>
            </w:r>
          </w:p>
        </w:tc>
      </w:tr>
      <w:tr w14:paraId="19405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0946D9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4587A21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5E3E8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544E32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07E4A87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526E0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1F5689A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370A234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4F085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vAlign w:val="center"/>
          </w:tcPr>
          <w:p w14:paraId="6CB6554E">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vAlign w:val="center"/>
          </w:tcPr>
          <w:p w14:paraId="13A3031C">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vAlign w:val="center"/>
          </w:tcPr>
          <w:p w14:paraId="145AB843">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vAlign w:val="center"/>
          </w:tcPr>
          <w:p w14:paraId="7686FA2D">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648B1E07">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vAlign w:val="center"/>
          </w:tcPr>
          <w:p w14:paraId="7575C84C">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7192857F">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vAlign w:val="center"/>
          </w:tcPr>
          <w:p w14:paraId="08BB0F9C">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14:paraId="1D058154">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14:paraId="27F7DEA7">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vAlign w:val="center"/>
          </w:tcPr>
          <w:p w14:paraId="2E3510D0">
            <w:pPr>
              <w:rPr>
                <w:rFonts w:hint="eastAsia" w:ascii="宋体" w:hAnsi="宋体" w:eastAsia="宋体" w:cs="宋体"/>
                <w:i w:val="0"/>
                <w:iCs w:val="0"/>
                <w:color w:val="000000"/>
                <w:sz w:val="18"/>
                <w:szCs w:val="18"/>
                <w:u w:val="none"/>
              </w:rPr>
            </w:pPr>
          </w:p>
        </w:tc>
      </w:tr>
      <w:tr w14:paraId="41805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0CAE3D9F">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3503C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652193D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4B48375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51080024R000010828112-行政人员工资性支出</w:t>
            </w:r>
          </w:p>
        </w:tc>
      </w:tr>
      <w:tr w14:paraId="49761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30E3B72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7EDB8F3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35E221A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4E9C2C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0BAA4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5904D53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3E0F919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683ECF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741AD9E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21B6A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F234011">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7A81BDE">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0E98993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0DB6D5C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w:t>
            </w:r>
            <w:r>
              <w:rPr>
                <w:rFonts w:hint="eastAsia" w:ascii="宋体" w:hAnsi="宋体" w:cs="宋体"/>
                <w:i w:val="0"/>
                <w:iCs w:val="0"/>
                <w:color w:val="000000"/>
                <w:kern w:val="0"/>
                <w:sz w:val="18"/>
                <w:szCs w:val="18"/>
                <w:u w:val="none"/>
                <w:lang w:val="en-US" w:eastAsia="zh-CN" w:bidi="ar"/>
              </w:rPr>
              <w:t>。</w:t>
            </w:r>
          </w:p>
        </w:tc>
      </w:tr>
      <w:tr w14:paraId="186B3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D54957">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DA3E80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6F88B046">
            <w:pPr>
              <w:rPr>
                <w:rFonts w:hint="eastAsia" w:ascii="宋体" w:hAnsi="宋体" w:eastAsia="宋体" w:cs="宋体"/>
                <w:i w:val="0"/>
                <w:iCs w:val="0"/>
                <w:color w:val="000000"/>
                <w:sz w:val="18"/>
                <w:szCs w:val="18"/>
                <w:u w:val="none"/>
              </w:rPr>
            </w:pPr>
          </w:p>
        </w:tc>
      </w:tr>
      <w:tr w14:paraId="0C7E7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16DE7C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7BA96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A9EEB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03573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445CAD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A2B7C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85B3E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16B16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2D2D7E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5769E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26527C5">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36BC0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7BA6B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2,287.93</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60557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2,211.77</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5A5A8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2,211.77</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AF3F2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B21A9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2B14BBD">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41B2FFA5">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E342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00A470C">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B90BB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8572C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2,287.93</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15AB5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2,211.77</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3E88B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2,211.77</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E61E3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23F52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5087D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BA0A616">
            <w:pPr>
              <w:rPr>
                <w:rFonts w:hint="eastAsia" w:ascii="黑体" w:hAnsi="黑体" w:eastAsia="黑体" w:cs="黑体"/>
                <w:i/>
                <w:iCs/>
                <w:color w:val="000000"/>
                <w:sz w:val="18"/>
                <w:szCs w:val="18"/>
                <w:u w:val="none"/>
              </w:rPr>
            </w:pPr>
          </w:p>
        </w:tc>
      </w:tr>
      <w:tr w14:paraId="7F2C7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EF3287C">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F1C87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20FFA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1110A3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40F6DE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0EF7B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F25D0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7708B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148638F">
            <w:pPr>
              <w:rPr>
                <w:rFonts w:hint="eastAsia" w:ascii="黑体" w:hAnsi="黑体" w:eastAsia="黑体" w:cs="黑体"/>
                <w:i/>
                <w:iCs/>
                <w:color w:val="000000"/>
                <w:sz w:val="18"/>
                <w:szCs w:val="18"/>
                <w:u w:val="none"/>
              </w:rPr>
            </w:pPr>
          </w:p>
        </w:tc>
      </w:tr>
      <w:tr w14:paraId="36162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8D652A5">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5A850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51DC5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79353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B9F3D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E1F0F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6EA79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306AC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DBA470">
            <w:pPr>
              <w:rPr>
                <w:rFonts w:hint="eastAsia" w:ascii="黑体" w:hAnsi="黑体" w:eastAsia="黑体" w:cs="黑体"/>
                <w:i/>
                <w:iCs/>
                <w:color w:val="000000"/>
                <w:sz w:val="18"/>
                <w:szCs w:val="18"/>
                <w:u w:val="none"/>
              </w:rPr>
            </w:pPr>
          </w:p>
        </w:tc>
      </w:tr>
      <w:tr w14:paraId="6C8F9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F79DEAE">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84F5A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9332021">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1C157F58">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10813F4C">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7E1408C">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A7200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8C192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9729318">
            <w:pPr>
              <w:rPr>
                <w:rFonts w:hint="eastAsia" w:ascii="黑体" w:hAnsi="黑体" w:eastAsia="黑体" w:cs="黑体"/>
                <w:i/>
                <w:iCs/>
                <w:color w:val="000000"/>
                <w:sz w:val="18"/>
                <w:szCs w:val="18"/>
                <w:u w:val="none"/>
              </w:rPr>
            </w:pPr>
          </w:p>
        </w:tc>
      </w:tr>
      <w:tr w14:paraId="45A7D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562D9B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4BA070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1E31C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1DB68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7BD99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173F38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DCBF0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93F24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BAD3E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CBCE0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289B51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2A4EF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01CCB8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43702A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34EFD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3FEA8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2237BC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129EA3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57AC9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71E7CF5">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CA986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134E7C3">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669D767">
            <w:pPr>
              <w:jc w:val="center"/>
              <w:rPr>
                <w:rFonts w:hint="eastAsia" w:ascii="微软雅黑" w:hAnsi="微软雅黑" w:eastAsia="微软雅黑" w:cs="微软雅黑"/>
                <w:i/>
                <w:iCs/>
                <w:color w:val="000000"/>
                <w:sz w:val="16"/>
                <w:szCs w:val="16"/>
                <w:u w:val="none"/>
              </w:rPr>
            </w:pPr>
          </w:p>
        </w:tc>
      </w:tr>
      <w:tr w14:paraId="455B7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98D25D">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8143C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938D3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11B71B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3FA09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68E3B6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43A20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DF4E869">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79007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37C5843">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092DBF8">
            <w:pPr>
              <w:jc w:val="center"/>
              <w:rPr>
                <w:rFonts w:hint="eastAsia" w:ascii="微软雅黑" w:hAnsi="微软雅黑" w:eastAsia="微软雅黑" w:cs="微软雅黑"/>
                <w:i/>
                <w:iCs/>
                <w:color w:val="000000"/>
                <w:sz w:val="16"/>
                <w:szCs w:val="16"/>
                <w:u w:val="none"/>
              </w:rPr>
            </w:pPr>
          </w:p>
        </w:tc>
      </w:tr>
      <w:tr w14:paraId="7CB3F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3CBF7B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22CEA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43A7025">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21555A3C">
            <w:pPr>
              <w:rPr>
                <w:rFonts w:hint="eastAsia" w:ascii="宋体" w:hAnsi="宋体" w:eastAsia="宋体" w:cs="宋体"/>
                <w:i w:val="0"/>
                <w:iCs w:val="0"/>
                <w:color w:val="000000"/>
                <w:sz w:val="18"/>
                <w:szCs w:val="18"/>
                <w:u w:val="none"/>
              </w:rPr>
            </w:pPr>
          </w:p>
        </w:tc>
      </w:tr>
      <w:tr w14:paraId="5BBE5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057594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17F1A51B">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lang w:val="en-US"/>
              </w:rPr>
            </w:pPr>
            <w:r>
              <w:rPr>
                <w:rFonts w:hint="eastAsia" w:ascii="微软雅黑" w:hAnsi="微软雅黑" w:eastAsia="微软雅黑" w:cs="微软雅黑"/>
                <w:i/>
                <w:iCs/>
                <w:color w:val="000000"/>
                <w:kern w:val="0"/>
                <w:sz w:val="16"/>
                <w:szCs w:val="16"/>
                <w:u w:val="none"/>
                <w:bdr w:val="none" w:color="auto" w:sz="0" w:space="0"/>
                <w:lang w:val="en-US" w:eastAsia="zh-CN" w:bidi="ar"/>
              </w:rPr>
              <w:t>该项目自评得分100分，</w:t>
            </w:r>
            <w:r>
              <w:rPr>
                <w:rFonts w:ascii="宋体" w:hAnsi="宋体" w:eastAsia="宋体" w:cs="宋体"/>
                <w:i w:val="0"/>
                <w:iCs w:val="0"/>
                <w:color w:val="000000"/>
                <w:kern w:val="0"/>
                <w:sz w:val="18"/>
                <w:szCs w:val="18"/>
                <w:u w:val="none"/>
                <w:lang w:val="en-US" w:eastAsia="zh-CN" w:bidi="ar"/>
              </w:rPr>
              <w:t>严格执行相关政策，保障工资及时、足额发放</w:t>
            </w:r>
            <w:r>
              <w:rPr>
                <w:rFonts w:hint="eastAsia" w:ascii="宋体" w:hAnsi="宋体" w:cs="宋体"/>
                <w:i w:val="0"/>
                <w:iCs w:val="0"/>
                <w:color w:val="000000"/>
                <w:kern w:val="0"/>
                <w:sz w:val="18"/>
                <w:szCs w:val="18"/>
                <w:u w:val="none"/>
                <w:lang w:val="en-US" w:eastAsia="zh-CN" w:bidi="ar"/>
              </w:rPr>
              <w:t>。</w:t>
            </w:r>
          </w:p>
        </w:tc>
      </w:tr>
      <w:tr w14:paraId="6C487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1A0DAD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11F2BF4C">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33A74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537A90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20AC327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4ECB7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706EDC6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217FF89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369B4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vAlign w:val="center"/>
          </w:tcPr>
          <w:p w14:paraId="3661C8B9">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vAlign w:val="center"/>
          </w:tcPr>
          <w:p w14:paraId="2F7BDFFE">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vAlign w:val="center"/>
          </w:tcPr>
          <w:p w14:paraId="11A1D9C1">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vAlign w:val="center"/>
          </w:tcPr>
          <w:p w14:paraId="19A5AC5F">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63D0A0E7">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vAlign w:val="center"/>
          </w:tcPr>
          <w:p w14:paraId="19D62E74">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5A96820F">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vAlign w:val="center"/>
          </w:tcPr>
          <w:p w14:paraId="7018B139">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14:paraId="0E0362FA">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14:paraId="3796AA80">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vAlign w:val="center"/>
          </w:tcPr>
          <w:p w14:paraId="5CCCA5A3">
            <w:pPr>
              <w:rPr>
                <w:rFonts w:hint="eastAsia" w:ascii="宋体" w:hAnsi="宋体" w:eastAsia="宋体" w:cs="宋体"/>
                <w:i w:val="0"/>
                <w:iCs w:val="0"/>
                <w:color w:val="000000"/>
                <w:sz w:val="18"/>
                <w:szCs w:val="18"/>
                <w:u w:val="none"/>
              </w:rPr>
            </w:pPr>
          </w:p>
        </w:tc>
      </w:tr>
      <w:tr w14:paraId="31D8F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67143628">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67BCB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5DFD4A4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6A3BCA5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51080024R000010851755-人员其他支出</w:t>
            </w:r>
          </w:p>
        </w:tc>
      </w:tr>
      <w:tr w14:paraId="5E1D2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6119C69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65B7DA4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4E4F774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3C12BD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22745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32876E0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0E07C1F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6A51A6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28E1DE2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0AC75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B4840DF">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A6A39BE">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0AC2DC9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084E0F0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w:t>
            </w:r>
          </w:p>
        </w:tc>
      </w:tr>
      <w:tr w14:paraId="1D210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CB5CDDE">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07C044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778CED17">
            <w:pPr>
              <w:rPr>
                <w:rFonts w:hint="eastAsia" w:ascii="宋体" w:hAnsi="宋体" w:eastAsia="宋体" w:cs="宋体"/>
                <w:i w:val="0"/>
                <w:iCs w:val="0"/>
                <w:color w:val="000000"/>
                <w:sz w:val="18"/>
                <w:szCs w:val="18"/>
                <w:u w:val="none"/>
              </w:rPr>
            </w:pPr>
          </w:p>
        </w:tc>
      </w:tr>
      <w:tr w14:paraId="23EFF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DCBBB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21518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F1429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009E2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9E7F9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47FEC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A40F5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3DA98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670A83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5A780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9792C6A">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12CC9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F6DC8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6.16</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60A5A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6.16</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FD27E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6.16</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65AA95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631A0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08E79F6">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7F2105CE">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5A63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1086D40">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167A3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0133D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6.16</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432BC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6.16</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75AEE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6.16</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6D6F97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46E6E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5E897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4784E74">
            <w:pPr>
              <w:rPr>
                <w:rFonts w:hint="eastAsia" w:ascii="黑体" w:hAnsi="黑体" w:eastAsia="黑体" w:cs="黑体"/>
                <w:i/>
                <w:iCs/>
                <w:color w:val="000000"/>
                <w:sz w:val="18"/>
                <w:szCs w:val="18"/>
                <w:u w:val="none"/>
              </w:rPr>
            </w:pPr>
          </w:p>
        </w:tc>
      </w:tr>
      <w:tr w14:paraId="082A6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358DFD8">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BBCB8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3184ED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1566F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7BEE0B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89AD6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AFC47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51CB9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CAB3D35">
            <w:pPr>
              <w:rPr>
                <w:rFonts w:hint="eastAsia" w:ascii="黑体" w:hAnsi="黑体" w:eastAsia="黑体" w:cs="黑体"/>
                <w:i/>
                <w:iCs/>
                <w:color w:val="000000"/>
                <w:sz w:val="18"/>
                <w:szCs w:val="18"/>
                <w:u w:val="none"/>
              </w:rPr>
            </w:pPr>
          </w:p>
        </w:tc>
      </w:tr>
      <w:tr w14:paraId="1E4F7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380B95">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88320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316B81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B1D39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D5664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52E2D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DF9BE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9F1A8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95CC368">
            <w:pPr>
              <w:rPr>
                <w:rFonts w:hint="eastAsia" w:ascii="黑体" w:hAnsi="黑体" w:eastAsia="黑体" w:cs="黑体"/>
                <w:i/>
                <w:iCs/>
                <w:color w:val="000000"/>
                <w:sz w:val="18"/>
                <w:szCs w:val="18"/>
                <w:u w:val="none"/>
              </w:rPr>
            </w:pPr>
          </w:p>
        </w:tc>
      </w:tr>
      <w:tr w14:paraId="02C24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C160963">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BBF98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DDF2C7C">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111AA624">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7D393B8E">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64549119">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28AC5B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BE70B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C8E832">
            <w:pPr>
              <w:rPr>
                <w:rFonts w:hint="eastAsia" w:ascii="黑体" w:hAnsi="黑体" w:eastAsia="黑体" w:cs="黑体"/>
                <w:i/>
                <w:iCs/>
                <w:color w:val="000000"/>
                <w:sz w:val="18"/>
                <w:szCs w:val="18"/>
                <w:u w:val="none"/>
              </w:rPr>
            </w:pPr>
          </w:p>
        </w:tc>
      </w:tr>
      <w:tr w14:paraId="1E6A9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0B874B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8137F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92758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A42AE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52EB5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3DA43F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29251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0EB40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12741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DCF89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E1A05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13CBD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A4BBFAF">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B92E6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5FAD3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9AC94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C58A8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6B2C98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14036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716C36D">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7103F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146E237">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1D9B12BF">
            <w:pPr>
              <w:jc w:val="center"/>
              <w:rPr>
                <w:rFonts w:hint="eastAsia" w:ascii="微软雅黑" w:hAnsi="微软雅黑" w:eastAsia="微软雅黑" w:cs="微软雅黑"/>
                <w:i/>
                <w:iCs/>
                <w:color w:val="000000"/>
                <w:sz w:val="16"/>
                <w:szCs w:val="16"/>
                <w:u w:val="none"/>
              </w:rPr>
            </w:pPr>
          </w:p>
        </w:tc>
      </w:tr>
      <w:tr w14:paraId="5B3D3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116663">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4528EE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C8496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72A94B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A9324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190017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21D80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36CF547">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39625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B2334F0">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532C1E45">
            <w:pPr>
              <w:jc w:val="center"/>
              <w:rPr>
                <w:rFonts w:hint="eastAsia" w:ascii="微软雅黑" w:hAnsi="微软雅黑" w:eastAsia="微软雅黑" w:cs="微软雅黑"/>
                <w:i/>
                <w:iCs/>
                <w:color w:val="000000"/>
                <w:sz w:val="16"/>
                <w:szCs w:val="16"/>
                <w:u w:val="none"/>
              </w:rPr>
            </w:pPr>
          </w:p>
        </w:tc>
      </w:tr>
      <w:tr w14:paraId="07904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16FA8B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32E16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E212328">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175EA65D">
            <w:pPr>
              <w:rPr>
                <w:rFonts w:hint="eastAsia" w:ascii="宋体" w:hAnsi="宋体" w:eastAsia="宋体" w:cs="宋体"/>
                <w:i w:val="0"/>
                <w:iCs w:val="0"/>
                <w:color w:val="000000"/>
                <w:sz w:val="18"/>
                <w:szCs w:val="18"/>
                <w:u w:val="none"/>
              </w:rPr>
            </w:pPr>
          </w:p>
        </w:tc>
      </w:tr>
      <w:tr w14:paraId="10745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61F266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292A6635">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lang w:val="en-US"/>
              </w:rPr>
            </w:pPr>
            <w:r>
              <w:rPr>
                <w:rFonts w:hint="eastAsia" w:ascii="微软雅黑" w:hAnsi="微软雅黑" w:eastAsia="微软雅黑" w:cs="微软雅黑"/>
                <w:i/>
                <w:iCs/>
                <w:color w:val="000000"/>
                <w:kern w:val="0"/>
                <w:sz w:val="16"/>
                <w:szCs w:val="16"/>
                <w:u w:val="none"/>
                <w:bdr w:val="none" w:color="auto" w:sz="0" w:space="0"/>
                <w:lang w:val="en-US" w:eastAsia="zh-CN" w:bidi="ar"/>
              </w:rPr>
              <w:t>该项目自评得分100分，</w:t>
            </w:r>
            <w:r>
              <w:rPr>
                <w:rFonts w:ascii="宋体" w:hAnsi="宋体" w:eastAsia="宋体" w:cs="宋体"/>
                <w:i w:val="0"/>
                <w:iCs w:val="0"/>
                <w:color w:val="000000"/>
                <w:kern w:val="0"/>
                <w:sz w:val="18"/>
                <w:szCs w:val="18"/>
                <w:u w:val="none"/>
                <w:lang w:val="en-US" w:eastAsia="zh-CN" w:bidi="ar"/>
              </w:rPr>
              <w:t>严格执行相关政策，保障工资及时、足额发放</w:t>
            </w:r>
          </w:p>
        </w:tc>
      </w:tr>
      <w:tr w14:paraId="54D3D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095ED4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6B6544D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1320E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434D10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4E63185F">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4C7E6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3863B63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724D0E8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04ACA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5E92E0BB">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2CB7F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32E3A12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602F79B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51080024Y000010826991-公用经费1（福利费、工会经费）</w:t>
            </w:r>
          </w:p>
        </w:tc>
      </w:tr>
      <w:tr w14:paraId="605FC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76C53A5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09CC3A4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57E79E26">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3BB058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19682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7F52D2A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44A2D2B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194D21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4899711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7B836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9B412D">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DB22D8C">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113AC49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提高预算编制质量，严格执行预算，保障单位日常运转。</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6AA3BB7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该项经费保证了支队的正常运转。</w:t>
            </w:r>
          </w:p>
        </w:tc>
      </w:tr>
      <w:tr w14:paraId="6C0F7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F19832">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4396ABC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5888ABD7">
            <w:pPr>
              <w:rPr>
                <w:rFonts w:hint="eastAsia" w:ascii="宋体" w:hAnsi="宋体" w:eastAsia="宋体" w:cs="宋体"/>
                <w:i w:val="0"/>
                <w:iCs w:val="0"/>
                <w:color w:val="000000"/>
                <w:sz w:val="18"/>
                <w:szCs w:val="18"/>
                <w:u w:val="none"/>
              </w:rPr>
            </w:pPr>
          </w:p>
        </w:tc>
      </w:tr>
      <w:tr w14:paraId="50B81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5F4E7D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44563F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C239D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57050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7D30B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02C15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65198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DDB9B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3DD1F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4D5E9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AB5095D">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A367B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46865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52.99</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8A06D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52.99</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44285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52.99</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44854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A816C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DCE7ACD">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6EBFED93">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00CD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DD70C1">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310E9C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2EA44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52.99</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ACC68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52.99</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066B8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52.99</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3959D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66A91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ADFE3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ACBD993">
            <w:pPr>
              <w:rPr>
                <w:rFonts w:hint="eastAsia" w:ascii="黑体" w:hAnsi="黑体" w:eastAsia="黑体" w:cs="黑体"/>
                <w:i/>
                <w:iCs/>
                <w:color w:val="000000"/>
                <w:sz w:val="18"/>
                <w:szCs w:val="18"/>
                <w:u w:val="none"/>
              </w:rPr>
            </w:pPr>
          </w:p>
        </w:tc>
      </w:tr>
      <w:tr w14:paraId="4B090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574F665">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25BEF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FEF13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7C4241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2B734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1967A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28525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F4A1B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2C9F339">
            <w:pPr>
              <w:rPr>
                <w:rFonts w:hint="eastAsia" w:ascii="黑体" w:hAnsi="黑体" w:eastAsia="黑体" w:cs="黑体"/>
                <w:i/>
                <w:iCs/>
                <w:color w:val="000000"/>
                <w:sz w:val="18"/>
                <w:szCs w:val="18"/>
                <w:u w:val="none"/>
              </w:rPr>
            </w:pPr>
          </w:p>
        </w:tc>
      </w:tr>
      <w:tr w14:paraId="25E60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BCA363">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227E7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11436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9F630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40FDF8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AA281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42AD7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29A5C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A400AF4">
            <w:pPr>
              <w:rPr>
                <w:rFonts w:hint="eastAsia" w:ascii="黑体" w:hAnsi="黑体" w:eastAsia="黑体" w:cs="黑体"/>
                <w:i/>
                <w:iCs/>
                <w:color w:val="000000"/>
                <w:sz w:val="18"/>
                <w:szCs w:val="18"/>
                <w:u w:val="none"/>
              </w:rPr>
            </w:pPr>
          </w:p>
        </w:tc>
      </w:tr>
      <w:tr w14:paraId="52C94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2A4379F">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DD435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DB011F7">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0303EE1">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05FB3E05">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C655882">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9EE76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5847A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4B65FA">
            <w:pPr>
              <w:rPr>
                <w:rFonts w:hint="eastAsia" w:ascii="黑体" w:hAnsi="黑体" w:eastAsia="黑体" w:cs="黑体"/>
                <w:i/>
                <w:iCs/>
                <w:color w:val="000000"/>
                <w:sz w:val="18"/>
                <w:szCs w:val="18"/>
                <w:u w:val="none"/>
              </w:rPr>
            </w:pPr>
          </w:p>
        </w:tc>
      </w:tr>
      <w:tr w14:paraId="06F01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39C886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5A302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F0AF7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F954B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66207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1BC000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FDF71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6731AB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64952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2874C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9D445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1946D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F428C79">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38B031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B781E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B8F5E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F164D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62C9C9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2DDB47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DE36A21">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1597E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B41A551">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38C42D94">
            <w:pPr>
              <w:jc w:val="center"/>
              <w:rPr>
                <w:rFonts w:hint="eastAsia" w:ascii="微软雅黑" w:hAnsi="微软雅黑" w:eastAsia="微软雅黑" w:cs="微软雅黑"/>
                <w:i/>
                <w:iCs/>
                <w:color w:val="000000"/>
                <w:sz w:val="16"/>
                <w:szCs w:val="16"/>
                <w:u w:val="none"/>
              </w:rPr>
            </w:pPr>
          </w:p>
        </w:tc>
      </w:tr>
      <w:tr w14:paraId="73301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C8F1EC">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C5EC513">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84CCE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CE698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C4DBD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4018E6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6B111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EB5088D">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DCBAE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797697A">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0493A0B">
            <w:pPr>
              <w:jc w:val="center"/>
              <w:rPr>
                <w:rFonts w:hint="eastAsia" w:ascii="微软雅黑" w:hAnsi="微软雅黑" w:eastAsia="微软雅黑" w:cs="微软雅黑"/>
                <w:i/>
                <w:iCs/>
                <w:color w:val="000000"/>
                <w:sz w:val="16"/>
                <w:szCs w:val="16"/>
                <w:u w:val="none"/>
              </w:rPr>
            </w:pPr>
          </w:p>
        </w:tc>
      </w:tr>
      <w:tr w14:paraId="0630E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F35061D">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09CE58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3E412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739F7E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6292A9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4495A4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4AFDA1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D452D3B">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E7E17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1B379B8">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E1398AD">
            <w:pPr>
              <w:jc w:val="center"/>
              <w:rPr>
                <w:rFonts w:hint="eastAsia" w:ascii="微软雅黑" w:hAnsi="微软雅黑" w:eastAsia="微软雅黑" w:cs="微软雅黑"/>
                <w:i/>
                <w:iCs/>
                <w:color w:val="000000"/>
                <w:sz w:val="16"/>
                <w:szCs w:val="16"/>
                <w:u w:val="none"/>
              </w:rPr>
            </w:pPr>
          </w:p>
        </w:tc>
      </w:tr>
      <w:tr w14:paraId="49C24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5E6F73F">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C94781">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27B93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7CF6B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D42D1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529133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88AF6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F52C56E">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19C6C6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2F9C292">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1376339B">
            <w:pPr>
              <w:jc w:val="center"/>
              <w:rPr>
                <w:rFonts w:hint="eastAsia" w:ascii="微软雅黑" w:hAnsi="微软雅黑" w:eastAsia="微软雅黑" w:cs="微软雅黑"/>
                <w:i/>
                <w:iCs/>
                <w:color w:val="000000"/>
                <w:sz w:val="16"/>
                <w:szCs w:val="16"/>
                <w:u w:val="none"/>
              </w:rPr>
            </w:pPr>
          </w:p>
        </w:tc>
      </w:tr>
      <w:tr w14:paraId="19D23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5A98A8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4EBF2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C57E480">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359C681D">
            <w:pPr>
              <w:rPr>
                <w:rFonts w:hint="eastAsia" w:ascii="宋体" w:hAnsi="宋体" w:eastAsia="宋体" w:cs="宋体"/>
                <w:i w:val="0"/>
                <w:iCs w:val="0"/>
                <w:color w:val="000000"/>
                <w:sz w:val="18"/>
                <w:szCs w:val="18"/>
                <w:u w:val="none"/>
              </w:rPr>
            </w:pPr>
          </w:p>
        </w:tc>
      </w:tr>
      <w:tr w14:paraId="00603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079ECF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43ECCD3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该项目自评得分100分，经费保证了支队的正常运转。</w:t>
            </w:r>
          </w:p>
        </w:tc>
      </w:tr>
      <w:tr w14:paraId="748FD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116798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28962A6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6CE9B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15E97E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60A0CB5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25DB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2F540EB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642FBF7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6D007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vAlign w:val="center"/>
          </w:tcPr>
          <w:p w14:paraId="7B3C2139">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vAlign w:val="center"/>
          </w:tcPr>
          <w:p w14:paraId="4D8DDA7B">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vAlign w:val="center"/>
          </w:tcPr>
          <w:p w14:paraId="61DA5BBD">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vAlign w:val="center"/>
          </w:tcPr>
          <w:p w14:paraId="5C5F6CE4">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3AD7163C">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vAlign w:val="center"/>
          </w:tcPr>
          <w:p w14:paraId="763F9265">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08F89677">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vAlign w:val="center"/>
          </w:tcPr>
          <w:p w14:paraId="1604F3DB">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14:paraId="2C44A511">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14:paraId="7F36F92A">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vAlign w:val="center"/>
          </w:tcPr>
          <w:p w14:paraId="1DA95102">
            <w:pPr>
              <w:rPr>
                <w:rFonts w:hint="eastAsia" w:ascii="宋体" w:hAnsi="宋体" w:eastAsia="宋体" w:cs="宋体"/>
                <w:i w:val="0"/>
                <w:iCs w:val="0"/>
                <w:color w:val="000000"/>
                <w:sz w:val="18"/>
                <w:szCs w:val="18"/>
                <w:u w:val="none"/>
              </w:rPr>
            </w:pPr>
          </w:p>
        </w:tc>
      </w:tr>
      <w:tr w14:paraId="44EB2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7E7F3DD3">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5EFED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4EA1AC4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5F417F4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51080024Y000010829138-定额公用经费（行政）</w:t>
            </w:r>
          </w:p>
        </w:tc>
      </w:tr>
      <w:tr w14:paraId="1B8F1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415F796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6EF76E2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5B516DF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747113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37808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310B3B9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7869363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153418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25553EB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3ECDB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C3AB93">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ADD5B9E">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57CC530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提高预算编制质量，严格执行预算，保障单位日常运转。</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31FD48E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该项经费保证了支队的正常运转。</w:t>
            </w:r>
          </w:p>
        </w:tc>
      </w:tr>
      <w:tr w14:paraId="51FC8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8FA2BE3">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8BD42B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045B532E">
            <w:pPr>
              <w:rPr>
                <w:rFonts w:hint="eastAsia" w:ascii="宋体" w:hAnsi="宋体" w:eastAsia="宋体" w:cs="宋体"/>
                <w:i w:val="0"/>
                <w:iCs w:val="0"/>
                <w:color w:val="000000"/>
                <w:sz w:val="18"/>
                <w:szCs w:val="18"/>
                <w:u w:val="none"/>
              </w:rPr>
            </w:pPr>
          </w:p>
        </w:tc>
      </w:tr>
      <w:tr w14:paraId="4633A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1D057B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1B460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88B27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9ABBD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305EC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1E67B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B179D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69F81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5DC10D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3A54C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8C9A0FE">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2D505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7A2F03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324.00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D1DD9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322.50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4D2738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322.07</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131C6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99.87%</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7EE64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A44941F">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2835914D">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104E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A3747EA">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7B1DF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76627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324.00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70AC9D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322.50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65E3D6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322.07</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405CAA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99.87%</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3B2DE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C059F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5B8C8E5">
            <w:pPr>
              <w:rPr>
                <w:rFonts w:hint="eastAsia" w:ascii="黑体" w:hAnsi="黑体" w:eastAsia="黑体" w:cs="黑体"/>
                <w:i/>
                <w:iCs/>
                <w:color w:val="000000"/>
                <w:sz w:val="18"/>
                <w:szCs w:val="18"/>
                <w:u w:val="none"/>
              </w:rPr>
            </w:pPr>
          </w:p>
        </w:tc>
      </w:tr>
      <w:tr w14:paraId="12648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44C945C">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2DDD7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CD65E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121DA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B5658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376C0C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E8616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3AA29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8AD6811">
            <w:pPr>
              <w:rPr>
                <w:rFonts w:hint="eastAsia" w:ascii="黑体" w:hAnsi="黑体" w:eastAsia="黑体" w:cs="黑体"/>
                <w:i/>
                <w:iCs/>
                <w:color w:val="000000"/>
                <w:sz w:val="18"/>
                <w:szCs w:val="18"/>
                <w:u w:val="none"/>
              </w:rPr>
            </w:pPr>
          </w:p>
        </w:tc>
      </w:tr>
      <w:tr w14:paraId="099B0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27683D">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4E88F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12131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86D78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8942B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37499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036D4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F0D5B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F381A7A">
            <w:pPr>
              <w:rPr>
                <w:rFonts w:hint="eastAsia" w:ascii="黑体" w:hAnsi="黑体" w:eastAsia="黑体" w:cs="黑体"/>
                <w:i/>
                <w:iCs/>
                <w:color w:val="000000"/>
                <w:sz w:val="18"/>
                <w:szCs w:val="18"/>
                <w:u w:val="none"/>
              </w:rPr>
            </w:pPr>
          </w:p>
        </w:tc>
      </w:tr>
      <w:tr w14:paraId="31A05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0F70A2">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0C618D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FA1234E">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1E03E54">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0F8B4933">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367DAD1">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A5249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F9727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E6240D3">
            <w:pPr>
              <w:rPr>
                <w:rFonts w:hint="eastAsia" w:ascii="黑体" w:hAnsi="黑体" w:eastAsia="黑体" w:cs="黑体"/>
                <w:i/>
                <w:iCs/>
                <w:color w:val="000000"/>
                <w:sz w:val="18"/>
                <w:szCs w:val="18"/>
                <w:u w:val="none"/>
              </w:rPr>
            </w:pPr>
          </w:p>
        </w:tc>
      </w:tr>
      <w:tr w14:paraId="26CAD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029664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29E8DA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AFFCD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19CDA7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BD4CD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2EC744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5D2EBA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34ABA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9030E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84703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63643B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02DD4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EE02E4">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0A00C5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BCAB5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BCF15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BB342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2EDE91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581265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4B4B700">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435DF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DAB7315">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635AB664">
            <w:pPr>
              <w:jc w:val="center"/>
              <w:rPr>
                <w:rFonts w:hint="eastAsia" w:ascii="微软雅黑" w:hAnsi="微软雅黑" w:eastAsia="微软雅黑" w:cs="微软雅黑"/>
                <w:i/>
                <w:iCs/>
                <w:color w:val="000000"/>
                <w:sz w:val="16"/>
                <w:szCs w:val="16"/>
                <w:u w:val="none"/>
              </w:rPr>
            </w:pPr>
          </w:p>
        </w:tc>
      </w:tr>
      <w:tr w14:paraId="437C7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3EA893D">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36FCA5E">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5B206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4C78A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6B9AB8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3DD43F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EF3D4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50B8470">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E06A2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B708825">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59BEED92">
            <w:pPr>
              <w:jc w:val="center"/>
              <w:rPr>
                <w:rFonts w:hint="eastAsia" w:ascii="微软雅黑" w:hAnsi="微软雅黑" w:eastAsia="微软雅黑" w:cs="微软雅黑"/>
                <w:i/>
                <w:iCs/>
                <w:color w:val="000000"/>
                <w:sz w:val="16"/>
                <w:szCs w:val="16"/>
                <w:u w:val="none"/>
              </w:rPr>
            </w:pPr>
          </w:p>
        </w:tc>
      </w:tr>
      <w:tr w14:paraId="2E668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0B34BC5">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6BA7FD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72210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34112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DD40B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4C9D16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A63CB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25D15F6">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3A6DCD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6F3F11E4">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42F4A89E">
            <w:pPr>
              <w:jc w:val="center"/>
              <w:rPr>
                <w:rFonts w:hint="eastAsia" w:ascii="微软雅黑" w:hAnsi="微软雅黑" w:eastAsia="微软雅黑" w:cs="微软雅黑"/>
                <w:i/>
                <w:iCs/>
                <w:color w:val="000000"/>
                <w:sz w:val="16"/>
                <w:szCs w:val="16"/>
                <w:u w:val="none"/>
              </w:rPr>
            </w:pPr>
          </w:p>
        </w:tc>
      </w:tr>
      <w:tr w14:paraId="787B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42556B">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A502652">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1831B9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6C23A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D96DC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499BFA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2EF4B0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BD2C4FF">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488433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DCB9CCC">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1E809664">
            <w:pPr>
              <w:jc w:val="center"/>
              <w:rPr>
                <w:rFonts w:hint="eastAsia" w:ascii="微软雅黑" w:hAnsi="微软雅黑" w:eastAsia="微软雅黑" w:cs="微软雅黑"/>
                <w:i/>
                <w:iCs/>
                <w:color w:val="000000"/>
                <w:sz w:val="16"/>
                <w:szCs w:val="16"/>
                <w:u w:val="none"/>
              </w:rPr>
            </w:pPr>
          </w:p>
        </w:tc>
      </w:tr>
      <w:tr w14:paraId="627D1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64548C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31315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15F90AD0">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2B243364">
            <w:pPr>
              <w:rPr>
                <w:rFonts w:hint="eastAsia" w:ascii="宋体" w:hAnsi="宋体" w:eastAsia="宋体" w:cs="宋体"/>
                <w:i w:val="0"/>
                <w:iCs w:val="0"/>
                <w:color w:val="000000"/>
                <w:sz w:val="18"/>
                <w:szCs w:val="18"/>
                <w:u w:val="none"/>
              </w:rPr>
            </w:pPr>
          </w:p>
        </w:tc>
      </w:tr>
      <w:tr w14:paraId="4FC30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2DC68C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37215CA8">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该项目自评得分100分，经费保证了支队的正常运转。</w:t>
            </w:r>
          </w:p>
        </w:tc>
      </w:tr>
      <w:tr w14:paraId="7B1FF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6D777C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518FF2EF">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4682B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31A61C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6F66A74D">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230B7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18337E1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7F78928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14:paraId="14252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vAlign w:val="center"/>
          </w:tcPr>
          <w:p w14:paraId="744F3477">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vAlign w:val="center"/>
          </w:tcPr>
          <w:p w14:paraId="533D7847">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vAlign w:val="center"/>
          </w:tcPr>
          <w:p w14:paraId="1DF97AEA">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vAlign w:val="center"/>
          </w:tcPr>
          <w:p w14:paraId="7B5BCCA6">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3D403210">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vAlign w:val="center"/>
          </w:tcPr>
          <w:p w14:paraId="11A26433">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vAlign w:val="center"/>
          </w:tcPr>
          <w:p w14:paraId="35EFA8AF">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vAlign w:val="center"/>
          </w:tcPr>
          <w:p w14:paraId="5EA2771F">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vAlign w:val="center"/>
          </w:tcPr>
          <w:p w14:paraId="306C69BD">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vAlign w:val="center"/>
          </w:tcPr>
          <w:p w14:paraId="236D4AEA">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vAlign w:val="center"/>
          </w:tcPr>
          <w:p w14:paraId="7488D7B9">
            <w:pPr>
              <w:rPr>
                <w:rFonts w:hint="eastAsia" w:ascii="宋体" w:hAnsi="宋体" w:eastAsia="宋体" w:cs="宋体"/>
                <w:i w:val="0"/>
                <w:iCs w:val="0"/>
                <w:color w:val="000000"/>
                <w:sz w:val="18"/>
                <w:szCs w:val="18"/>
                <w:u w:val="none"/>
              </w:rPr>
            </w:pPr>
          </w:p>
        </w:tc>
      </w:tr>
      <w:tr w14:paraId="06B0E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vAlign w:val="center"/>
          </w:tcPr>
          <w:p w14:paraId="7E9273A4">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14:paraId="259B3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5863968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0B9F6E6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51080024Y000010829846-公用经费2（公车补贴、党建、退休活动）</w:t>
            </w:r>
          </w:p>
        </w:tc>
      </w:tr>
      <w:tr w14:paraId="2904C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vAlign w:val="center"/>
          </w:tcPr>
          <w:p w14:paraId="59EBA99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123EE2A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广元市公安局交通警察支队部门</w:t>
            </w:r>
          </w:p>
        </w:tc>
        <w:tc>
          <w:tcPr>
            <w:tcW w:w="1091" w:type="dxa"/>
            <w:tcBorders>
              <w:top w:val="nil"/>
              <w:left w:val="nil"/>
              <w:bottom w:val="nil"/>
              <w:right w:val="nil"/>
            </w:tcBorders>
            <w:shd w:val="clear"/>
            <w:vAlign w:val="center"/>
          </w:tcPr>
          <w:p w14:paraId="6292ABA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vAlign w:val="center"/>
          </w:tcPr>
          <w:p w14:paraId="317DF1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广元市公安局交通警察支队</w:t>
            </w:r>
          </w:p>
        </w:tc>
      </w:tr>
      <w:tr w14:paraId="12B0D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2670E53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5E6F889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3F7266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13E5E21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14:paraId="50776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F20A7E9">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F498D0">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vAlign w:val="center"/>
          </w:tcPr>
          <w:p w14:paraId="35A620B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提高预算编制质量，严格执行预算，保障单位日常运转。</w:t>
            </w:r>
          </w:p>
        </w:tc>
        <w:tc>
          <w:tcPr>
            <w:tcW w:w="4609" w:type="dxa"/>
            <w:gridSpan w:val="4"/>
            <w:tcBorders>
              <w:top w:val="single" w:color="000000" w:sz="4" w:space="0"/>
              <w:left w:val="single" w:color="000000" w:sz="4" w:space="0"/>
              <w:bottom w:val="single" w:color="000000" w:sz="4" w:space="0"/>
              <w:right w:val="single" w:color="000000" w:sz="4" w:space="0"/>
            </w:tcBorders>
            <w:shd w:val="clear"/>
            <w:vAlign w:val="center"/>
          </w:tcPr>
          <w:p w14:paraId="28B9CAE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该项经费保证了支队的正常运转。</w:t>
            </w:r>
          </w:p>
        </w:tc>
      </w:tr>
      <w:tr w14:paraId="33493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DDAA190">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4CF0BB4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vAlign w:val="center"/>
          </w:tcPr>
          <w:p w14:paraId="4BC1BF0F">
            <w:pPr>
              <w:rPr>
                <w:rFonts w:hint="eastAsia" w:ascii="宋体" w:hAnsi="宋体" w:eastAsia="宋体" w:cs="宋体"/>
                <w:i w:val="0"/>
                <w:iCs w:val="0"/>
                <w:color w:val="000000"/>
                <w:sz w:val="18"/>
                <w:szCs w:val="18"/>
                <w:u w:val="none"/>
              </w:rPr>
            </w:pPr>
          </w:p>
        </w:tc>
      </w:tr>
      <w:tr w14:paraId="738B9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3DE47F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03572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67168A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04D48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508298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1BBBE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9AF67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3F31D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34091E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14:paraId="3836A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CF79040">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B597C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328DFA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228.32</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3C6A79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228.32</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3DAEA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228.32</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E0D56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00318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232A506E">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vAlign w:val="center"/>
          </w:tcPr>
          <w:p w14:paraId="3CC9E040">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9584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AA155D">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1F8823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82732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228.32</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055F71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228.32</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057089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228.32</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DFE52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C1FEE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96034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C3657F7">
            <w:pPr>
              <w:rPr>
                <w:rFonts w:hint="eastAsia" w:ascii="黑体" w:hAnsi="黑体" w:eastAsia="黑体" w:cs="黑体"/>
                <w:i/>
                <w:iCs/>
                <w:color w:val="000000"/>
                <w:sz w:val="18"/>
                <w:szCs w:val="18"/>
                <w:u w:val="none"/>
              </w:rPr>
            </w:pPr>
          </w:p>
        </w:tc>
      </w:tr>
      <w:tr w14:paraId="641F2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EA5F786">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C0D20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36DC80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6A1585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32760A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15865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AE52A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8853F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23080D5">
            <w:pPr>
              <w:rPr>
                <w:rFonts w:hint="eastAsia" w:ascii="黑体" w:hAnsi="黑体" w:eastAsia="黑体" w:cs="黑体"/>
                <w:i/>
                <w:iCs/>
                <w:color w:val="000000"/>
                <w:sz w:val="18"/>
                <w:szCs w:val="18"/>
                <w:u w:val="none"/>
              </w:rPr>
            </w:pPr>
          </w:p>
        </w:tc>
      </w:tr>
      <w:tr w14:paraId="44FE1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F088FD0">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603A2D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42E2B8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D050F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029E57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10B1E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D61DA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06F417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21512BA">
            <w:pPr>
              <w:rPr>
                <w:rFonts w:hint="eastAsia" w:ascii="黑体" w:hAnsi="黑体" w:eastAsia="黑体" w:cs="黑体"/>
                <w:i/>
                <w:iCs/>
                <w:color w:val="000000"/>
                <w:sz w:val="18"/>
                <w:szCs w:val="18"/>
                <w:u w:val="none"/>
              </w:rPr>
            </w:pPr>
          </w:p>
        </w:tc>
      </w:tr>
      <w:tr w14:paraId="5310B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384846C">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7D9258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50E77EA9">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502E72E0">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vAlign w:val="center"/>
          </w:tcPr>
          <w:p w14:paraId="7D2BC7D8">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A265C58">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A43B3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97D96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74CAAC">
            <w:pPr>
              <w:rPr>
                <w:rFonts w:hint="eastAsia" w:ascii="黑体" w:hAnsi="黑体" w:eastAsia="黑体" w:cs="黑体"/>
                <w:i/>
                <w:iCs/>
                <w:color w:val="000000"/>
                <w:sz w:val="18"/>
                <w:szCs w:val="18"/>
                <w:u w:val="none"/>
              </w:rPr>
            </w:pPr>
          </w:p>
        </w:tc>
      </w:tr>
      <w:tr w14:paraId="097A3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vAlign w:val="center"/>
          </w:tcPr>
          <w:p w14:paraId="312A25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vAlign w:val="center"/>
          </w:tcPr>
          <w:p w14:paraId="57E086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0C7267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37631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6DE12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48F85E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54FBB3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0B99DA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B6F38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38DDD3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14BCE4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14:paraId="402B6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BFD54C">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587C43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349509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44FBD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B5E27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3C17FF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1D0C0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27BFC3A1">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96758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52830CBC">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2C5E166C">
            <w:pPr>
              <w:jc w:val="center"/>
              <w:rPr>
                <w:rFonts w:hint="eastAsia" w:ascii="微软雅黑" w:hAnsi="微软雅黑" w:eastAsia="微软雅黑" w:cs="微软雅黑"/>
                <w:i/>
                <w:iCs/>
                <w:color w:val="000000"/>
                <w:sz w:val="16"/>
                <w:szCs w:val="16"/>
                <w:u w:val="none"/>
              </w:rPr>
            </w:pPr>
          </w:p>
        </w:tc>
      </w:tr>
      <w:tr w14:paraId="60776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AF10BF">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C6BFE34">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14066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410352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1BEA93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0D32F4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7F1E35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134505ED">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5EC8BA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30A4EDA">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7ED11BB1">
            <w:pPr>
              <w:jc w:val="center"/>
              <w:rPr>
                <w:rFonts w:hint="eastAsia" w:ascii="微软雅黑" w:hAnsi="微软雅黑" w:eastAsia="微软雅黑" w:cs="微软雅黑"/>
                <w:i/>
                <w:iCs/>
                <w:color w:val="000000"/>
                <w:sz w:val="16"/>
                <w:szCs w:val="16"/>
                <w:u w:val="none"/>
              </w:rPr>
            </w:pPr>
          </w:p>
        </w:tc>
      </w:tr>
      <w:tr w14:paraId="64312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F6BBEC7">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70AA52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2C7846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414F2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2B1237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467246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064C52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715B2296">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0D37D0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74E57BA">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0C5A3F22">
            <w:pPr>
              <w:jc w:val="center"/>
              <w:rPr>
                <w:rFonts w:hint="eastAsia" w:ascii="微软雅黑" w:hAnsi="微软雅黑" w:eastAsia="微软雅黑" w:cs="微软雅黑"/>
                <w:i/>
                <w:iCs/>
                <w:color w:val="000000"/>
                <w:sz w:val="16"/>
                <w:szCs w:val="16"/>
                <w:u w:val="none"/>
              </w:rPr>
            </w:pPr>
          </w:p>
        </w:tc>
      </w:tr>
      <w:tr w14:paraId="0E104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74046AD">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D5A9264">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vAlign w:val="center"/>
          </w:tcPr>
          <w:p w14:paraId="32C516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vAlign w:val="center"/>
          </w:tcPr>
          <w:p w14:paraId="2790D9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339A7D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vAlign w:val="center"/>
          </w:tcPr>
          <w:p w14:paraId="3908D3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vAlign w:val="center"/>
          </w:tcPr>
          <w:p w14:paraId="6E376D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vAlign w:val="center"/>
          </w:tcPr>
          <w:p w14:paraId="590B6323">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734F2C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77CBD388">
            <w:pPr>
              <w:jc w:val="cente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285D315E">
            <w:pPr>
              <w:jc w:val="center"/>
              <w:rPr>
                <w:rFonts w:hint="eastAsia" w:ascii="微软雅黑" w:hAnsi="微软雅黑" w:eastAsia="微软雅黑" w:cs="微软雅黑"/>
                <w:i/>
                <w:iCs/>
                <w:color w:val="000000"/>
                <w:sz w:val="16"/>
                <w:szCs w:val="16"/>
                <w:u w:val="none"/>
              </w:rPr>
            </w:pPr>
          </w:p>
        </w:tc>
      </w:tr>
      <w:tr w14:paraId="4F316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vAlign w:val="center"/>
          </w:tcPr>
          <w:p w14:paraId="287ADF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vAlign w:val="center"/>
          </w:tcPr>
          <w:p w14:paraId="6F6201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vAlign w:val="center"/>
          </w:tcPr>
          <w:p w14:paraId="4A4A8958">
            <w:pPr>
              <w:rPr>
                <w:rFonts w:hint="eastAsia" w:ascii="宋体" w:hAnsi="宋体" w:eastAsia="宋体" w:cs="宋体"/>
                <w:i w:val="0"/>
                <w:iCs w:val="0"/>
                <w:color w:val="000000"/>
                <w:sz w:val="18"/>
                <w:szCs w:val="18"/>
                <w:u w:val="none"/>
              </w:rPr>
            </w:pPr>
          </w:p>
        </w:tc>
        <w:tc>
          <w:tcPr>
            <w:tcW w:w="2557" w:type="dxa"/>
            <w:tcBorders>
              <w:top w:val="single" w:color="000000" w:sz="4" w:space="0"/>
              <w:left w:val="single" w:color="000000" w:sz="4" w:space="0"/>
              <w:bottom w:val="single" w:color="000000" w:sz="4" w:space="0"/>
              <w:right w:val="single" w:color="000000" w:sz="4" w:space="0"/>
            </w:tcBorders>
            <w:shd w:val="clear"/>
            <w:vAlign w:val="center"/>
          </w:tcPr>
          <w:p w14:paraId="4DE691FD">
            <w:pPr>
              <w:rPr>
                <w:rFonts w:hint="eastAsia" w:ascii="宋体" w:hAnsi="宋体" w:eastAsia="宋体" w:cs="宋体"/>
                <w:i w:val="0"/>
                <w:iCs w:val="0"/>
                <w:color w:val="000000"/>
                <w:sz w:val="18"/>
                <w:szCs w:val="18"/>
                <w:u w:val="none"/>
              </w:rPr>
            </w:pPr>
          </w:p>
        </w:tc>
      </w:tr>
      <w:tr w14:paraId="7F1DD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69C957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013CC9D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该项目自评得分100分，经费保证了支队的正常运转。</w:t>
            </w:r>
          </w:p>
        </w:tc>
      </w:tr>
      <w:tr w14:paraId="55EB5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05FE1F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7565828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266E1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vAlign w:val="center"/>
          </w:tcPr>
          <w:p w14:paraId="22F97F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vAlign w:val="center"/>
          </w:tcPr>
          <w:p w14:paraId="2BA2127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14:paraId="6CB59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vAlign w:val="center"/>
          </w:tcPr>
          <w:p w14:paraId="61282F7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807" w:type="dxa"/>
            <w:gridSpan w:val="6"/>
            <w:tcBorders>
              <w:top w:val="single" w:color="000000" w:sz="4" w:space="0"/>
              <w:left w:val="single" w:color="000000" w:sz="4" w:space="0"/>
              <w:bottom w:val="single" w:color="000000" w:sz="4" w:space="0"/>
              <w:right w:val="single" w:color="000000" w:sz="4" w:space="0"/>
            </w:tcBorders>
            <w:shd w:val="clear"/>
            <w:vAlign w:val="center"/>
          </w:tcPr>
          <w:p w14:paraId="73E6D4E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14:paraId="43173061">
      <w:pPr>
        <w:pStyle w:val="2"/>
        <w:rPr>
          <w:rFonts w:hint="eastAsia" w:eastAsia="黑体"/>
          <w:lang w:eastAsia="zh-CN"/>
        </w:rPr>
      </w:pPr>
    </w:p>
    <w:p w14:paraId="66D929D7">
      <w:pPr>
        <w:rPr>
          <w:rFonts w:hint="eastAsia" w:eastAsia="宋体"/>
          <w:lang w:eastAsia="zh-CN"/>
        </w:rPr>
      </w:pPr>
    </w:p>
    <w:p w14:paraId="2686B9A3">
      <w:pPr>
        <w:pStyle w:val="2"/>
        <w:keepNext/>
        <w:keepLines/>
        <w:pageBreakBefore w:val="0"/>
        <w:widowControl w:val="0"/>
        <w:kinsoku/>
        <w:wordWrap/>
        <w:overflowPunct/>
        <w:topLinePunct w:val="0"/>
        <w:autoSpaceDE/>
        <w:autoSpaceDN/>
        <w:bidi w:val="0"/>
        <w:adjustRightInd/>
        <w:snapToGrid/>
        <w:spacing w:before="0" w:after="0" w:line="20" w:lineRule="exact"/>
        <w:textAlignment w:val="auto"/>
        <w:sectPr>
          <w:pgSz w:w="16838" w:h="11906" w:orient="landscape"/>
          <w:pgMar w:top="1800" w:right="1440" w:bottom="1800" w:left="1440" w:header="851" w:footer="992" w:gutter="0"/>
          <w:pgNumType w:fmt="decimal"/>
          <w:cols w:space="425" w:num="1"/>
          <w:docGrid w:type="lines" w:linePitch="312" w:charSpace="0"/>
        </w:sectPr>
      </w:pPr>
    </w:p>
    <w:tbl>
      <w:tblPr>
        <w:tblStyle w:val="12"/>
        <w:tblW w:w="14970" w:type="dxa"/>
        <w:tblInd w:w="93" w:type="dxa"/>
        <w:tblLayout w:type="autofit"/>
        <w:tblCellMar>
          <w:top w:w="0" w:type="dxa"/>
          <w:left w:w="108" w:type="dxa"/>
          <w:bottom w:w="0" w:type="dxa"/>
          <w:right w:w="108" w:type="dxa"/>
        </w:tblCellMar>
      </w:tblPr>
      <w:tblGrid>
        <w:gridCol w:w="683"/>
        <w:gridCol w:w="2044"/>
        <w:gridCol w:w="1771"/>
        <w:gridCol w:w="2257"/>
        <w:gridCol w:w="520"/>
        <w:gridCol w:w="1672"/>
        <w:gridCol w:w="520"/>
        <w:gridCol w:w="1090"/>
        <w:gridCol w:w="505"/>
        <w:gridCol w:w="486"/>
        <w:gridCol w:w="3422"/>
      </w:tblGrid>
      <w:tr w14:paraId="1F5E0019">
        <w:tblPrEx>
          <w:tblCellMar>
            <w:top w:w="0" w:type="dxa"/>
            <w:left w:w="108" w:type="dxa"/>
            <w:bottom w:w="0" w:type="dxa"/>
            <w:right w:w="108" w:type="dxa"/>
          </w:tblCellMar>
        </w:tblPrEx>
        <w:trPr>
          <w:trHeight w:val="680" w:hRule="atLeast"/>
        </w:trPr>
        <w:tc>
          <w:tcPr>
            <w:tcW w:w="149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6185B38">
            <w:pPr>
              <w:widowControl/>
              <w:jc w:val="both"/>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14:paraId="5CA35C7B">
        <w:tblPrEx>
          <w:tblCellMar>
            <w:top w:w="0" w:type="dxa"/>
            <w:left w:w="108" w:type="dxa"/>
            <w:bottom w:w="0" w:type="dxa"/>
            <w:right w:w="108" w:type="dxa"/>
          </w:tblCellMar>
        </w:tblPrEx>
        <w:trPr>
          <w:trHeight w:val="286"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04CDA">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项目名称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135A06A">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51080021T000000051808-办案补助费</w:t>
            </w:r>
          </w:p>
        </w:tc>
      </w:tr>
      <w:tr w14:paraId="62569B56">
        <w:tblPrEx>
          <w:tblCellMar>
            <w:top w:w="0" w:type="dxa"/>
            <w:left w:w="108" w:type="dxa"/>
            <w:bottom w:w="0" w:type="dxa"/>
            <w:right w:w="108" w:type="dxa"/>
          </w:tblCellMar>
        </w:tblPrEx>
        <w:trPr>
          <w:trHeight w:val="420"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0F1A37">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主管部门</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5CBE1C">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广元市公安局交通警察支队部门</w:t>
            </w:r>
          </w:p>
        </w:tc>
        <w:tc>
          <w:tcPr>
            <w:tcW w:w="1090" w:type="dxa"/>
            <w:tcBorders>
              <w:top w:val="nil"/>
              <w:left w:val="nil"/>
              <w:bottom w:val="nil"/>
              <w:right w:val="nil"/>
            </w:tcBorders>
            <w:shd w:val="clear" w:color="auto" w:fill="auto"/>
            <w:vAlign w:val="center"/>
          </w:tcPr>
          <w:p w14:paraId="7496092C">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44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8C4DA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w:t>
            </w:r>
          </w:p>
        </w:tc>
      </w:tr>
      <w:tr w14:paraId="347D9D18">
        <w:tblPrEx>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508FBC">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项目基本情况</w:t>
            </w: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4748A4">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1.项目年度目标完成情况</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13B06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项目年度目标</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60D126">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14:paraId="738717F5">
        <w:tblPrEx>
          <w:tblCellMar>
            <w:top w:w="0" w:type="dxa"/>
            <w:left w:w="108" w:type="dxa"/>
            <w:bottom w:w="0" w:type="dxa"/>
            <w:right w:w="108" w:type="dxa"/>
          </w:tblCellMar>
        </w:tblPrEx>
        <w:trPr>
          <w:trHeight w:val="164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25560">
            <w:pP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215CE">
            <w:pPr>
              <w:rPr>
                <w:rFonts w:ascii="宋体" w:hAnsi="宋体" w:cs="宋体"/>
                <w:color w:val="000000"/>
                <w:sz w:val="18"/>
                <w:szCs w:val="18"/>
              </w:rPr>
            </w:pP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3CEDCF">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　  1、道路交通事故预防，保持无10人以上的死亡事故。2、交通违法行为的常态打击，从严整治“三乱”交通陋习,“三驾两闯”严重违法，最大限度消除安全隐患。3、智能化交通系统深化应用，有效缓解了城区交通拥堵。</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BD9C2F">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全市共查处交通违法85万余起，查处酒驾醉驾、无证驾驶、严重超员超载等严重交通违法4万余起，精准布控查缉重点车辆2520余辆；办理刑事案件689件，行政拘留2048人，吊销机动车驾驶证1077个。共发生一般程序道路交通事故1042起、死亡155人、受伤1229人、财产损失262.3余万元，同比分别上升5.0%、下降0.7%、下降3.3%、下降8.2%，连续144个月没有发生一起一次死亡5人的较大道路交通事故。</w:t>
            </w:r>
          </w:p>
        </w:tc>
      </w:tr>
      <w:tr w14:paraId="0B164A6D">
        <w:tblPrEx>
          <w:tblCellMar>
            <w:top w:w="0" w:type="dxa"/>
            <w:left w:w="108" w:type="dxa"/>
            <w:bottom w:w="0" w:type="dxa"/>
            <w:right w:w="108" w:type="dxa"/>
          </w:tblCellMar>
        </w:tblPrEx>
        <w:trPr>
          <w:trHeight w:val="54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063F0">
            <w:pP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F3F0E">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2.项目实施内容及过程概述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4B22AFE">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该项目经费主要用于弥补办案经费，由支队统筹使用，严格执行经费“使用审批”、“预算执行”、“管理监督”三个环节，硬化预算约束。</w:t>
            </w:r>
          </w:p>
        </w:tc>
      </w:tr>
      <w:tr w14:paraId="39C5A218">
        <w:tblPrEx>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7DBEF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预算执行情况（10分）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E10F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年度预算数（万元）</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11ED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3E26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B3FF0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CACE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D9A4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880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C39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原因</w:t>
            </w:r>
          </w:p>
        </w:tc>
      </w:tr>
      <w:tr w14:paraId="6690F6C3">
        <w:tblPrEx>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6B279">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BC68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总额</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80B2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A8A0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EA44A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8501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EAB8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4309">
            <w:pPr>
              <w:jc w:val="center"/>
              <w:rPr>
                <w:rFonts w:ascii="宋体" w:hAnsi="宋体" w:cs="宋体"/>
                <w:color w:val="000000"/>
                <w:sz w:val="18"/>
                <w:szCs w:val="18"/>
              </w:rPr>
            </w:pPr>
          </w:p>
        </w:tc>
        <w:tc>
          <w:tcPr>
            <w:tcW w:w="3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1CA7C">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3EEA8C52">
        <w:tblPrEx>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8CB64">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1603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其中：财政资金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2D4F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C25C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302CD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46F1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1332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861D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D854E">
            <w:pPr>
              <w:rPr>
                <w:rFonts w:ascii="黑体" w:hAnsi="黑体" w:eastAsia="黑体" w:cs="黑体"/>
                <w:i/>
                <w:iCs/>
                <w:color w:val="000000"/>
                <w:sz w:val="18"/>
                <w:szCs w:val="18"/>
              </w:rPr>
            </w:pPr>
          </w:p>
        </w:tc>
      </w:tr>
      <w:tr w14:paraId="414DE752">
        <w:tblPrEx>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FC430">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D93B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财政专户管理资金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BA12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2306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84A3F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CAD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2D33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6E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B2634">
            <w:pPr>
              <w:rPr>
                <w:rFonts w:ascii="黑体" w:hAnsi="黑体" w:eastAsia="黑体" w:cs="黑体"/>
                <w:i/>
                <w:iCs/>
                <w:color w:val="000000"/>
                <w:sz w:val="18"/>
                <w:szCs w:val="18"/>
              </w:rPr>
            </w:pPr>
          </w:p>
        </w:tc>
      </w:tr>
      <w:tr w14:paraId="7CF373CB">
        <w:tblPrEx>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B6864">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0EC5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单位资金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229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B31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05020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CD4D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6CE9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3D7A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28145">
            <w:pPr>
              <w:rPr>
                <w:rFonts w:ascii="黑体" w:hAnsi="黑体" w:eastAsia="黑体" w:cs="黑体"/>
                <w:i/>
                <w:iCs/>
                <w:color w:val="000000"/>
                <w:sz w:val="18"/>
                <w:szCs w:val="18"/>
              </w:rPr>
            </w:pPr>
          </w:p>
        </w:tc>
      </w:tr>
      <w:tr w14:paraId="149E4A8A">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771A6">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5CED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其他资金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8E0C">
            <w:pPr>
              <w:jc w:val="center"/>
              <w:rPr>
                <w:rFonts w:ascii="微软雅黑" w:hAnsi="微软雅黑" w:eastAsia="微软雅黑" w:cs="微软雅黑"/>
                <w:i/>
                <w:iCs/>
                <w:color w:val="000000"/>
                <w:sz w:val="16"/>
                <w:szCs w:val="16"/>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2C29">
            <w:pPr>
              <w:jc w:val="center"/>
              <w:rPr>
                <w:rFonts w:ascii="微软雅黑" w:hAnsi="微软雅黑" w:eastAsia="微软雅黑" w:cs="微软雅黑"/>
                <w:i/>
                <w:iCs/>
                <w:color w:val="000000"/>
                <w:sz w:val="16"/>
                <w:szCs w:val="16"/>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E56535">
            <w:pPr>
              <w:jc w:val="center"/>
              <w:rPr>
                <w:rFonts w:ascii="微软雅黑" w:hAnsi="微软雅黑" w:eastAsia="微软雅黑" w:cs="微软雅黑"/>
                <w:i/>
                <w:iCs/>
                <w:color w:val="000000"/>
                <w:sz w:val="16"/>
                <w:szCs w:val="16"/>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F7FA">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AD1C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09EF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EC307">
            <w:pPr>
              <w:rPr>
                <w:rFonts w:ascii="黑体" w:hAnsi="黑体" w:eastAsia="黑体" w:cs="黑体"/>
                <w:i/>
                <w:iCs/>
                <w:color w:val="000000"/>
                <w:sz w:val="18"/>
                <w:szCs w:val="18"/>
              </w:rPr>
            </w:pPr>
          </w:p>
        </w:tc>
      </w:tr>
      <w:tr w14:paraId="69ECE0E7">
        <w:tblPrEx>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BDB69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绩效指标（90分）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E0E7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一级指标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4036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9162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A1A2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378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FA4E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D8C8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CC2D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B547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BD2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未完成原因分析</w:t>
            </w:r>
          </w:p>
        </w:tc>
      </w:tr>
      <w:tr w14:paraId="7CD5B204">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0D57A">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B4C63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产出指标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559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8D1C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查处交通违法量</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7DA7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1C1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0FA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万件</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8F7A">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85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7D65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0D9F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BC000">
            <w:pPr>
              <w:jc w:val="center"/>
              <w:rPr>
                <w:rFonts w:ascii="微软雅黑" w:hAnsi="微软雅黑" w:eastAsia="微软雅黑" w:cs="微软雅黑"/>
                <w:i/>
                <w:iCs/>
                <w:color w:val="000000"/>
                <w:sz w:val="16"/>
                <w:szCs w:val="16"/>
              </w:rPr>
            </w:pPr>
          </w:p>
        </w:tc>
      </w:tr>
      <w:tr w14:paraId="169B9C3B">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12283">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81FAE">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C676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0CB2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事故预防</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8314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FE98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7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25D6D">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7999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D3C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CA39">
            <w:pPr>
              <w:jc w:val="center"/>
              <w:rPr>
                <w:rFonts w:ascii="微软雅黑" w:hAnsi="微软雅黑" w:eastAsia="微软雅黑" w:cs="微软雅黑"/>
                <w:i/>
                <w:iCs/>
                <w:color w:val="000000"/>
                <w:sz w:val="16"/>
                <w:szCs w:val="16"/>
              </w:rPr>
            </w:pPr>
          </w:p>
        </w:tc>
      </w:tr>
      <w:tr w14:paraId="531E6DF7">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DEFA7">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06C41">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825A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时效指标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ECF1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完成时间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49F9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BAF3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111F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EBDBA">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8FFC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A3DD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4A145">
            <w:pPr>
              <w:jc w:val="center"/>
              <w:rPr>
                <w:rFonts w:ascii="微软雅黑" w:hAnsi="微软雅黑" w:eastAsia="微软雅黑" w:cs="微软雅黑"/>
                <w:i/>
                <w:iCs/>
                <w:color w:val="000000"/>
                <w:sz w:val="16"/>
                <w:szCs w:val="16"/>
              </w:rPr>
            </w:pPr>
          </w:p>
        </w:tc>
      </w:tr>
      <w:tr w14:paraId="7F53C2AE">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1AC1D">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B7485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效益指标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6B57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0DA2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提高道路交通管理工作效率及道路通行率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341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BEF8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1E66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90F4">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8D7E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2FB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359E">
            <w:pPr>
              <w:jc w:val="center"/>
              <w:rPr>
                <w:rFonts w:ascii="微软雅黑" w:hAnsi="微软雅黑" w:eastAsia="微软雅黑" w:cs="微软雅黑"/>
                <w:i/>
                <w:iCs/>
                <w:color w:val="000000"/>
                <w:sz w:val="16"/>
                <w:szCs w:val="16"/>
              </w:rPr>
            </w:pPr>
          </w:p>
        </w:tc>
      </w:tr>
      <w:tr w14:paraId="6C2FC9D2">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E004E">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D021F">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962F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可持续影响指标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F1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连续无重特大事故</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E33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6AE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24</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9E14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7492">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24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A7C2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55FD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D23D9">
            <w:pPr>
              <w:jc w:val="center"/>
              <w:rPr>
                <w:rFonts w:ascii="微软雅黑" w:hAnsi="微软雅黑" w:eastAsia="微软雅黑" w:cs="微软雅黑"/>
                <w:i/>
                <w:iCs/>
                <w:color w:val="000000"/>
                <w:sz w:val="16"/>
                <w:szCs w:val="16"/>
              </w:rPr>
            </w:pPr>
          </w:p>
        </w:tc>
      </w:tr>
      <w:tr w14:paraId="6D7EBF1E">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6BB9D">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D17C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满意度指标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113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服务对象满意度指标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1299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交通参与者</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DC7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F6FD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04BB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2D37">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D01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898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92920">
            <w:pPr>
              <w:jc w:val="center"/>
              <w:rPr>
                <w:rFonts w:ascii="微软雅黑" w:hAnsi="微软雅黑" w:eastAsia="微软雅黑" w:cs="微软雅黑"/>
                <w:i/>
                <w:iCs/>
                <w:color w:val="000000"/>
                <w:sz w:val="16"/>
                <w:szCs w:val="16"/>
              </w:rPr>
            </w:pPr>
          </w:p>
        </w:tc>
      </w:tr>
      <w:tr w14:paraId="170BB96B">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68423">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1EEA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成本指标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AE95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经济成本指标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CE80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办案所需耗材、鉴定、差旅等费用</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1842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A9DA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01AC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0492A">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40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E725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1DBF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C4EEE">
            <w:pPr>
              <w:jc w:val="center"/>
              <w:rPr>
                <w:rFonts w:ascii="微软雅黑" w:hAnsi="微软雅黑" w:eastAsia="微软雅黑" w:cs="微软雅黑"/>
                <w:i/>
                <w:iCs/>
                <w:color w:val="000000"/>
                <w:sz w:val="16"/>
                <w:szCs w:val="16"/>
              </w:rPr>
            </w:pPr>
          </w:p>
        </w:tc>
      </w:tr>
      <w:tr w14:paraId="70142A93">
        <w:tblPrEx>
          <w:tblCellMar>
            <w:top w:w="0" w:type="dxa"/>
            <w:left w:w="108" w:type="dxa"/>
            <w:bottom w:w="0" w:type="dxa"/>
            <w:right w:w="108" w:type="dxa"/>
          </w:tblCellMar>
        </w:tblPrEx>
        <w:trPr>
          <w:trHeight w:val="286" w:hRule="atLeast"/>
        </w:trPr>
        <w:tc>
          <w:tcPr>
            <w:tcW w:w="105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44B8A2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6BB5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128C8">
            <w:pPr>
              <w:widowControl/>
              <w:jc w:val="right"/>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1F686">
            <w:pPr>
              <w:rPr>
                <w:rFonts w:ascii="宋体" w:hAnsi="宋体" w:cs="宋体"/>
                <w:color w:val="000000"/>
                <w:sz w:val="18"/>
                <w:szCs w:val="18"/>
              </w:rPr>
            </w:pPr>
          </w:p>
        </w:tc>
      </w:tr>
      <w:tr w14:paraId="69A1F583">
        <w:tblPrEx>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6D8C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评价结论</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F3865B4">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该项目自评得分100分。通过项目的实施，持续打击了交通违法行为，有力净化了交通秩序，共查处交通违法85万余起，连续144个月没有发生一起一次死亡5人的较大道路交通事故。</w:t>
            </w:r>
          </w:p>
        </w:tc>
      </w:tr>
      <w:tr w14:paraId="70D51442">
        <w:tblPrEx>
          <w:tblCellMar>
            <w:top w:w="0" w:type="dxa"/>
            <w:left w:w="108" w:type="dxa"/>
            <w:bottom w:w="0" w:type="dxa"/>
            <w:right w:w="108" w:type="dxa"/>
          </w:tblCellMar>
        </w:tblPrEx>
        <w:trPr>
          <w:trHeight w:val="460"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7089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存在问题</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FF65D41">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4044E109">
        <w:tblPrEx>
          <w:tblCellMar>
            <w:top w:w="0" w:type="dxa"/>
            <w:left w:w="108" w:type="dxa"/>
            <w:bottom w:w="0" w:type="dxa"/>
            <w:right w:w="108" w:type="dxa"/>
          </w:tblCellMar>
        </w:tblPrEx>
        <w:trPr>
          <w:trHeight w:val="540"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D1DC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改进措施</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EC9A6C4">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2FDDEDEC">
        <w:tblPrEx>
          <w:tblCellMar>
            <w:top w:w="0" w:type="dxa"/>
            <w:left w:w="108" w:type="dxa"/>
            <w:bottom w:w="0" w:type="dxa"/>
            <w:right w:w="108" w:type="dxa"/>
          </w:tblCellMar>
        </w:tblPrEx>
        <w:trPr>
          <w:trHeight w:val="286" w:hRule="atLeast"/>
        </w:trPr>
        <w:tc>
          <w:tcPr>
            <w:tcW w:w="7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12D2B8">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项目负责人：</w:t>
            </w:r>
          </w:p>
        </w:tc>
        <w:tc>
          <w:tcPr>
            <w:tcW w:w="76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A8C4EE">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财务负责人：</w:t>
            </w:r>
          </w:p>
        </w:tc>
      </w:tr>
      <w:tr w14:paraId="23A62EC5">
        <w:tblPrEx>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14:paraId="667C315F">
            <w:pPr>
              <w:rPr>
                <w:rFonts w:ascii="宋体" w:hAnsi="宋体" w:cs="宋体"/>
                <w:color w:val="000000"/>
                <w:sz w:val="18"/>
                <w:szCs w:val="18"/>
              </w:rPr>
            </w:pPr>
          </w:p>
        </w:tc>
        <w:tc>
          <w:tcPr>
            <w:tcW w:w="2044" w:type="dxa"/>
            <w:tcBorders>
              <w:top w:val="nil"/>
              <w:left w:val="nil"/>
              <w:bottom w:val="nil"/>
              <w:right w:val="nil"/>
            </w:tcBorders>
            <w:shd w:val="clear" w:color="auto" w:fill="auto"/>
            <w:vAlign w:val="center"/>
          </w:tcPr>
          <w:p w14:paraId="74448B10">
            <w:pPr>
              <w:rPr>
                <w:rFonts w:ascii="宋体" w:hAnsi="宋体" w:cs="宋体"/>
                <w:color w:val="000000"/>
                <w:sz w:val="18"/>
                <w:szCs w:val="18"/>
              </w:rPr>
            </w:pPr>
          </w:p>
        </w:tc>
        <w:tc>
          <w:tcPr>
            <w:tcW w:w="1771" w:type="dxa"/>
            <w:tcBorders>
              <w:top w:val="nil"/>
              <w:left w:val="nil"/>
              <w:bottom w:val="nil"/>
              <w:right w:val="nil"/>
            </w:tcBorders>
            <w:shd w:val="clear" w:color="auto" w:fill="auto"/>
            <w:vAlign w:val="center"/>
          </w:tcPr>
          <w:p w14:paraId="5BDE72D9">
            <w:pPr>
              <w:rPr>
                <w:rFonts w:ascii="宋体" w:hAnsi="宋体" w:cs="宋体"/>
                <w:color w:val="000000"/>
                <w:sz w:val="18"/>
                <w:szCs w:val="18"/>
              </w:rPr>
            </w:pPr>
          </w:p>
        </w:tc>
        <w:tc>
          <w:tcPr>
            <w:tcW w:w="2257" w:type="dxa"/>
            <w:tcBorders>
              <w:top w:val="nil"/>
              <w:left w:val="nil"/>
              <w:bottom w:val="nil"/>
              <w:right w:val="nil"/>
            </w:tcBorders>
            <w:shd w:val="clear" w:color="auto" w:fill="auto"/>
            <w:vAlign w:val="center"/>
          </w:tcPr>
          <w:p w14:paraId="146FFF1D">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2F429F5B">
            <w:pPr>
              <w:rPr>
                <w:rFonts w:ascii="宋体" w:hAnsi="宋体" w:cs="宋体"/>
                <w:color w:val="000000"/>
                <w:sz w:val="18"/>
                <w:szCs w:val="18"/>
              </w:rPr>
            </w:pPr>
          </w:p>
        </w:tc>
        <w:tc>
          <w:tcPr>
            <w:tcW w:w="1672" w:type="dxa"/>
            <w:tcBorders>
              <w:top w:val="nil"/>
              <w:left w:val="nil"/>
              <w:bottom w:val="nil"/>
              <w:right w:val="nil"/>
            </w:tcBorders>
            <w:shd w:val="clear" w:color="auto" w:fill="auto"/>
            <w:vAlign w:val="center"/>
          </w:tcPr>
          <w:p w14:paraId="3475361E">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429AE0C3">
            <w:pPr>
              <w:rPr>
                <w:rFonts w:ascii="宋体" w:hAnsi="宋体" w:cs="宋体"/>
                <w:color w:val="000000"/>
                <w:sz w:val="18"/>
                <w:szCs w:val="18"/>
              </w:rPr>
            </w:pPr>
          </w:p>
        </w:tc>
        <w:tc>
          <w:tcPr>
            <w:tcW w:w="1090" w:type="dxa"/>
            <w:tcBorders>
              <w:top w:val="nil"/>
              <w:left w:val="nil"/>
              <w:bottom w:val="nil"/>
              <w:right w:val="nil"/>
            </w:tcBorders>
            <w:shd w:val="clear" w:color="auto" w:fill="auto"/>
            <w:vAlign w:val="center"/>
          </w:tcPr>
          <w:p w14:paraId="0EF97E72">
            <w:pPr>
              <w:rPr>
                <w:rFonts w:ascii="宋体" w:hAnsi="宋体" w:cs="宋体"/>
                <w:color w:val="000000"/>
                <w:sz w:val="18"/>
                <w:szCs w:val="18"/>
              </w:rPr>
            </w:pPr>
          </w:p>
        </w:tc>
        <w:tc>
          <w:tcPr>
            <w:tcW w:w="505" w:type="dxa"/>
            <w:tcBorders>
              <w:top w:val="nil"/>
              <w:left w:val="nil"/>
              <w:bottom w:val="nil"/>
              <w:right w:val="nil"/>
            </w:tcBorders>
            <w:shd w:val="clear" w:color="auto" w:fill="auto"/>
            <w:vAlign w:val="center"/>
          </w:tcPr>
          <w:p w14:paraId="7BD72050">
            <w:pPr>
              <w:rPr>
                <w:rFonts w:ascii="宋体" w:hAnsi="宋体" w:cs="宋体"/>
                <w:color w:val="000000"/>
                <w:sz w:val="18"/>
                <w:szCs w:val="18"/>
              </w:rPr>
            </w:pPr>
          </w:p>
        </w:tc>
        <w:tc>
          <w:tcPr>
            <w:tcW w:w="486" w:type="dxa"/>
            <w:tcBorders>
              <w:top w:val="nil"/>
              <w:left w:val="nil"/>
              <w:bottom w:val="nil"/>
              <w:right w:val="nil"/>
            </w:tcBorders>
            <w:shd w:val="clear" w:color="auto" w:fill="auto"/>
            <w:vAlign w:val="center"/>
          </w:tcPr>
          <w:p w14:paraId="6DDCB33B">
            <w:pPr>
              <w:rPr>
                <w:rFonts w:ascii="宋体" w:hAnsi="宋体" w:cs="宋体"/>
                <w:color w:val="000000"/>
                <w:sz w:val="18"/>
                <w:szCs w:val="18"/>
              </w:rPr>
            </w:pPr>
          </w:p>
        </w:tc>
        <w:tc>
          <w:tcPr>
            <w:tcW w:w="3422" w:type="dxa"/>
            <w:tcBorders>
              <w:top w:val="nil"/>
              <w:left w:val="nil"/>
              <w:bottom w:val="nil"/>
              <w:right w:val="nil"/>
            </w:tcBorders>
            <w:shd w:val="clear" w:color="auto" w:fill="auto"/>
            <w:vAlign w:val="center"/>
          </w:tcPr>
          <w:p w14:paraId="2F33C902">
            <w:pPr>
              <w:rPr>
                <w:rFonts w:ascii="宋体" w:hAnsi="宋体" w:cs="宋体"/>
                <w:color w:val="000000"/>
                <w:sz w:val="18"/>
                <w:szCs w:val="18"/>
              </w:rPr>
            </w:pPr>
          </w:p>
        </w:tc>
      </w:tr>
      <w:tr w14:paraId="49722B86">
        <w:tblPrEx>
          <w:tblCellMar>
            <w:top w:w="0" w:type="dxa"/>
            <w:left w:w="108" w:type="dxa"/>
            <w:bottom w:w="0" w:type="dxa"/>
            <w:right w:w="108" w:type="dxa"/>
          </w:tblCellMar>
        </w:tblPrEx>
        <w:trPr>
          <w:trHeight w:val="904" w:hRule="atLeast"/>
        </w:trPr>
        <w:tc>
          <w:tcPr>
            <w:tcW w:w="149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8194D89">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14:paraId="3075DA02">
        <w:tblPrEx>
          <w:tblCellMar>
            <w:top w:w="0" w:type="dxa"/>
            <w:left w:w="108" w:type="dxa"/>
            <w:bottom w:w="0" w:type="dxa"/>
            <w:right w:w="108" w:type="dxa"/>
          </w:tblCellMar>
        </w:tblPrEx>
        <w:trPr>
          <w:trHeight w:val="286"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85789">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项目名称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954B301">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51080021T000000051967-事故车辆检测费</w:t>
            </w:r>
          </w:p>
        </w:tc>
      </w:tr>
      <w:tr w14:paraId="662260BE">
        <w:tblPrEx>
          <w:tblCellMar>
            <w:top w:w="0" w:type="dxa"/>
            <w:left w:w="108" w:type="dxa"/>
            <w:bottom w:w="0" w:type="dxa"/>
            <w:right w:w="108" w:type="dxa"/>
          </w:tblCellMar>
        </w:tblPrEx>
        <w:trPr>
          <w:trHeight w:val="512"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F252DB">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主管部门</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E560E7">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广元市公安局交通警察支队部门</w:t>
            </w:r>
          </w:p>
        </w:tc>
        <w:tc>
          <w:tcPr>
            <w:tcW w:w="1090" w:type="dxa"/>
            <w:tcBorders>
              <w:top w:val="nil"/>
              <w:left w:val="nil"/>
              <w:bottom w:val="nil"/>
              <w:right w:val="nil"/>
            </w:tcBorders>
            <w:shd w:val="clear" w:color="auto" w:fill="auto"/>
            <w:vAlign w:val="center"/>
          </w:tcPr>
          <w:p w14:paraId="0492EBF5">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44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EF80D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w:t>
            </w:r>
          </w:p>
        </w:tc>
      </w:tr>
      <w:tr w14:paraId="481C599B">
        <w:tblPrEx>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4AF80">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项目基本情况</w:t>
            </w: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FAEA5C">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1.项目年度目标完成情况</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39320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项目年度目标</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2F641D">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14:paraId="31C8626C">
        <w:tblPrEx>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980C8">
            <w:pP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885AE">
            <w:pPr>
              <w:rPr>
                <w:rFonts w:ascii="宋体" w:hAnsi="宋体" w:cs="宋体"/>
                <w:color w:val="000000"/>
                <w:sz w:val="18"/>
                <w:szCs w:val="18"/>
              </w:rPr>
            </w:pP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624B2E">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完成对交通事故中需要检测车辆进行检测并出具报告，为交通事故的责任认定提供依据。</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7ACD5C">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2024年共检验车辆443台，为交通事故的责任认定提供依据。</w:t>
            </w:r>
          </w:p>
        </w:tc>
      </w:tr>
      <w:tr w14:paraId="6C9544AC">
        <w:tblPrEx>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9EEA0">
            <w:pP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D6631">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2.项目实施内容及过程概述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6DE12F7">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该项目资金用于事故车辆检测费用，项目严格进行招投标程序，对交通事故中需要检测车辆进行检测并出具报告。</w:t>
            </w:r>
          </w:p>
        </w:tc>
      </w:tr>
      <w:tr w14:paraId="24F34128">
        <w:tblPrEx>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AC70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预算执行情况（10分）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D620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年度预算数（万元）</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7EDA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6ECA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37E98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9AE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1A16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D428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42D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原因</w:t>
            </w:r>
          </w:p>
        </w:tc>
      </w:tr>
      <w:tr w14:paraId="436EC4FA">
        <w:tblPrEx>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3A23B">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C2D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总额</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3393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FF00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7A5BF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1481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6A1B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AEFBD">
            <w:pPr>
              <w:jc w:val="center"/>
              <w:rPr>
                <w:rFonts w:ascii="宋体" w:hAnsi="宋体" w:cs="宋体"/>
                <w:color w:val="000000"/>
                <w:sz w:val="18"/>
                <w:szCs w:val="18"/>
              </w:rPr>
            </w:pPr>
          </w:p>
        </w:tc>
        <w:tc>
          <w:tcPr>
            <w:tcW w:w="3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BDB057">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5E662D15">
        <w:tblPrEx>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282A1">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580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其中：财政资金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A21D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3C8A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23334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3A82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2D46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B4FD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EC883">
            <w:pPr>
              <w:rPr>
                <w:rFonts w:ascii="黑体" w:hAnsi="黑体" w:eastAsia="黑体" w:cs="黑体"/>
                <w:i/>
                <w:iCs/>
                <w:color w:val="000000"/>
                <w:sz w:val="18"/>
                <w:szCs w:val="18"/>
              </w:rPr>
            </w:pPr>
          </w:p>
        </w:tc>
      </w:tr>
      <w:tr w14:paraId="52B3C3DB">
        <w:tblPrEx>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C9D11">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71A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财政专户管理资金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1EC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C52D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7BEC7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339D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ED9F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C84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D6CFF">
            <w:pPr>
              <w:rPr>
                <w:rFonts w:ascii="黑体" w:hAnsi="黑体" w:eastAsia="黑体" w:cs="黑体"/>
                <w:i/>
                <w:iCs/>
                <w:color w:val="000000"/>
                <w:sz w:val="18"/>
                <w:szCs w:val="18"/>
              </w:rPr>
            </w:pPr>
          </w:p>
        </w:tc>
      </w:tr>
      <w:tr w14:paraId="4B9F28E1">
        <w:tblPrEx>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708E0">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4F92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单位资金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243C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D4B3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68134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2FDF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EBB3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DA60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6090D">
            <w:pPr>
              <w:rPr>
                <w:rFonts w:ascii="黑体" w:hAnsi="黑体" w:eastAsia="黑体" w:cs="黑体"/>
                <w:i/>
                <w:iCs/>
                <w:color w:val="000000"/>
                <w:sz w:val="18"/>
                <w:szCs w:val="18"/>
              </w:rPr>
            </w:pPr>
          </w:p>
        </w:tc>
      </w:tr>
      <w:tr w14:paraId="3429B9B5">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75956">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267D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其他资金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814C5">
            <w:pPr>
              <w:jc w:val="center"/>
              <w:rPr>
                <w:rFonts w:ascii="微软雅黑" w:hAnsi="微软雅黑" w:eastAsia="微软雅黑" w:cs="微软雅黑"/>
                <w:i/>
                <w:iCs/>
                <w:color w:val="000000"/>
                <w:sz w:val="16"/>
                <w:szCs w:val="16"/>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54BBA">
            <w:pPr>
              <w:jc w:val="center"/>
              <w:rPr>
                <w:rFonts w:ascii="微软雅黑" w:hAnsi="微软雅黑" w:eastAsia="微软雅黑" w:cs="微软雅黑"/>
                <w:i/>
                <w:iCs/>
                <w:color w:val="000000"/>
                <w:sz w:val="16"/>
                <w:szCs w:val="16"/>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1F3BC3">
            <w:pPr>
              <w:jc w:val="center"/>
              <w:rPr>
                <w:rFonts w:ascii="微软雅黑" w:hAnsi="微软雅黑" w:eastAsia="微软雅黑" w:cs="微软雅黑"/>
                <w:i/>
                <w:iCs/>
                <w:color w:val="000000"/>
                <w:sz w:val="16"/>
                <w:szCs w:val="16"/>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D453E">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2D9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07FF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310E1">
            <w:pPr>
              <w:rPr>
                <w:rFonts w:ascii="黑体" w:hAnsi="黑体" w:eastAsia="黑体" w:cs="黑体"/>
                <w:i/>
                <w:iCs/>
                <w:color w:val="000000"/>
                <w:sz w:val="18"/>
                <w:szCs w:val="18"/>
              </w:rPr>
            </w:pPr>
          </w:p>
        </w:tc>
      </w:tr>
      <w:tr w14:paraId="25C55309">
        <w:tblPrEx>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86284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绩效指标（90分）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881F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一级指标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B0B6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FA62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8327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43C6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6B6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96B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125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89B8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EC1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未完成原因分析</w:t>
            </w:r>
          </w:p>
        </w:tc>
      </w:tr>
      <w:tr w14:paraId="26E423C7">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147BA">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4C4B7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产出指标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60F4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FBD5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交通事故中需要检测的车辆</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3BAA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A13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5130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辆</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A5213">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443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6D10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9BEF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B2802">
            <w:pPr>
              <w:jc w:val="center"/>
              <w:rPr>
                <w:rFonts w:ascii="微软雅黑" w:hAnsi="微软雅黑" w:eastAsia="微软雅黑" w:cs="微软雅黑"/>
                <w:i/>
                <w:iCs/>
                <w:color w:val="000000"/>
                <w:sz w:val="16"/>
                <w:szCs w:val="16"/>
              </w:rPr>
            </w:pPr>
          </w:p>
        </w:tc>
      </w:tr>
      <w:tr w14:paraId="30312DCB">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D36E2">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D0593">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7DDA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564A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检验结果合格率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290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AD7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229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4D9FC">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E7B0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7E4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A451B">
            <w:pPr>
              <w:jc w:val="center"/>
              <w:rPr>
                <w:rFonts w:ascii="微软雅黑" w:hAnsi="微软雅黑" w:eastAsia="微软雅黑" w:cs="微软雅黑"/>
                <w:i/>
                <w:iCs/>
                <w:color w:val="000000"/>
                <w:sz w:val="16"/>
                <w:szCs w:val="16"/>
              </w:rPr>
            </w:pPr>
          </w:p>
        </w:tc>
      </w:tr>
      <w:tr w14:paraId="6F658751">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99A39">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9A854">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8237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时效指标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97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完成时间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BAAA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C03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F1CF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4C8F8">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BA7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8B5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90CF">
            <w:pPr>
              <w:jc w:val="center"/>
              <w:rPr>
                <w:rFonts w:ascii="微软雅黑" w:hAnsi="微软雅黑" w:eastAsia="微软雅黑" w:cs="微软雅黑"/>
                <w:i/>
                <w:iCs/>
                <w:color w:val="000000"/>
                <w:sz w:val="16"/>
                <w:szCs w:val="16"/>
              </w:rPr>
            </w:pPr>
          </w:p>
        </w:tc>
      </w:tr>
      <w:tr w14:paraId="77B0CCE2">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26B24">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769D8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效益指标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309F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6EA3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减轻交通事故发生者负担</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E389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A0FA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AF5D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4D369">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BF77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EBA3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CEF41">
            <w:pPr>
              <w:jc w:val="center"/>
              <w:rPr>
                <w:rFonts w:ascii="微软雅黑" w:hAnsi="微软雅黑" w:eastAsia="微软雅黑" w:cs="微软雅黑"/>
                <w:i/>
                <w:iCs/>
                <w:color w:val="000000"/>
                <w:sz w:val="16"/>
                <w:szCs w:val="16"/>
              </w:rPr>
            </w:pPr>
          </w:p>
        </w:tc>
      </w:tr>
      <w:tr w14:paraId="1157EF06">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91387">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EA2CA">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D78F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C239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为交通事故处理提供技术支持</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9219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2E8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0C4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88CF">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BB27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00D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BE378">
            <w:pPr>
              <w:jc w:val="center"/>
              <w:rPr>
                <w:rFonts w:ascii="微软雅黑" w:hAnsi="微软雅黑" w:eastAsia="微软雅黑" w:cs="微软雅黑"/>
                <w:i/>
                <w:iCs/>
                <w:color w:val="000000"/>
                <w:sz w:val="16"/>
                <w:szCs w:val="16"/>
              </w:rPr>
            </w:pPr>
          </w:p>
        </w:tc>
      </w:tr>
      <w:tr w14:paraId="308802C4">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BCAC5">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2AAA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满意度指标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8AAA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服务对象满意度指标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F899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事故车车主满意度</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DA76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B35E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991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F75A">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224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ADA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61FFF">
            <w:pPr>
              <w:jc w:val="center"/>
              <w:rPr>
                <w:rFonts w:ascii="微软雅黑" w:hAnsi="微软雅黑" w:eastAsia="微软雅黑" w:cs="微软雅黑"/>
                <w:i/>
                <w:iCs/>
                <w:color w:val="000000"/>
                <w:sz w:val="16"/>
                <w:szCs w:val="16"/>
              </w:rPr>
            </w:pPr>
          </w:p>
        </w:tc>
      </w:tr>
      <w:tr w14:paraId="4A9B779C">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F2BE3">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A8D7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成本指标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8D0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经济成本指标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0807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交通事故车辆检测费</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112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19A8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465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B2945">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40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19E2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8D37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6BAE1">
            <w:pPr>
              <w:jc w:val="center"/>
              <w:rPr>
                <w:rFonts w:ascii="微软雅黑" w:hAnsi="微软雅黑" w:eastAsia="微软雅黑" w:cs="微软雅黑"/>
                <w:i/>
                <w:iCs/>
                <w:color w:val="000000"/>
                <w:sz w:val="16"/>
                <w:szCs w:val="16"/>
              </w:rPr>
            </w:pPr>
          </w:p>
        </w:tc>
      </w:tr>
      <w:tr w14:paraId="06951EDA">
        <w:tblPrEx>
          <w:tblCellMar>
            <w:top w:w="0" w:type="dxa"/>
            <w:left w:w="108" w:type="dxa"/>
            <w:bottom w:w="0" w:type="dxa"/>
            <w:right w:w="108" w:type="dxa"/>
          </w:tblCellMar>
        </w:tblPrEx>
        <w:trPr>
          <w:trHeight w:val="286" w:hRule="atLeast"/>
        </w:trPr>
        <w:tc>
          <w:tcPr>
            <w:tcW w:w="105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6C3659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A140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A66E7">
            <w:pPr>
              <w:widowControl/>
              <w:jc w:val="right"/>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83E1D">
            <w:pPr>
              <w:rPr>
                <w:rFonts w:ascii="宋体" w:hAnsi="宋体" w:cs="宋体"/>
                <w:color w:val="000000"/>
                <w:sz w:val="18"/>
                <w:szCs w:val="18"/>
              </w:rPr>
            </w:pPr>
          </w:p>
        </w:tc>
      </w:tr>
      <w:tr w14:paraId="3D412FA7">
        <w:tblPrEx>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771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评价结论</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D18101F">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该项目自评得分100分。2024年共检验车辆443台，通过项目的实施，对交通事故中需要进行检测的车辆应检尽检，并出具报告，为交通事故的责任认定提供了依据，形成了证据链。</w:t>
            </w:r>
          </w:p>
        </w:tc>
      </w:tr>
      <w:tr w14:paraId="26EFBD90">
        <w:tblPrEx>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469A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存在问题</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2EBE140">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5D5DD5D8">
        <w:tblPrEx>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354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改进措施</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B02A28A">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775FD5F4">
        <w:tblPrEx>
          <w:tblCellMar>
            <w:top w:w="0" w:type="dxa"/>
            <w:left w:w="108" w:type="dxa"/>
            <w:bottom w:w="0" w:type="dxa"/>
            <w:right w:w="108" w:type="dxa"/>
          </w:tblCellMar>
        </w:tblPrEx>
        <w:trPr>
          <w:trHeight w:val="286" w:hRule="atLeast"/>
        </w:trPr>
        <w:tc>
          <w:tcPr>
            <w:tcW w:w="7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247ED4">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项目负责人：</w:t>
            </w:r>
          </w:p>
        </w:tc>
        <w:tc>
          <w:tcPr>
            <w:tcW w:w="76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1A5A4D">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财务负责人：</w:t>
            </w:r>
          </w:p>
        </w:tc>
      </w:tr>
      <w:tr w14:paraId="0090EC42">
        <w:tblPrEx>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14:paraId="4DF381AB">
            <w:pPr>
              <w:rPr>
                <w:rFonts w:ascii="宋体" w:hAnsi="宋体" w:cs="宋体"/>
                <w:color w:val="000000"/>
                <w:sz w:val="18"/>
                <w:szCs w:val="18"/>
              </w:rPr>
            </w:pPr>
          </w:p>
        </w:tc>
        <w:tc>
          <w:tcPr>
            <w:tcW w:w="2044" w:type="dxa"/>
            <w:tcBorders>
              <w:top w:val="nil"/>
              <w:left w:val="nil"/>
              <w:bottom w:val="nil"/>
              <w:right w:val="nil"/>
            </w:tcBorders>
            <w:shd w:val="clear" w:color="auto" w:fill="auto"/>
            <w:vAlign w:val="center"/>
          </w:tcPr>
          <w:p w14:paraId="7C52C95D">
            <w:pPr>
              <w:rPr>
                <w:rFonts w:ascii="宋体" w:hAnsi="宋体" w:cs="宋体"/>
                <w:color w:val="000000"/>
                <w:sz w:val="18"/>
                <w:szCs w:val="18"/>
              </w:rPr>
            </w:pPr>
          </w:p>
        </w:tc>
        <w:tc>
          <w:tcPr>
            <w:tcW w:w="1771" w:type="dxa"/>
            <w:tcBorders>
              <w:top w:val="nil"/>
              <w:left w:val="nil"/>
              <w:bottom w:val="nil"/>
              <w:right w:val="nil"/>
            </w:tcBorders>
            <w:shd w:val="clear" w:color="auto" w:fill="auto"/>
            <w:vAlign w:val="center"/>
          </w:tcPr>
          <w:p w14:paraId="18B5AAD0">
            <w:pPr>
              <w:rPr>
                <w:rFonts w:ascii="宋体" w:hAnsi="宋体" w:cs="宋体"/>
                <w:color w:val="000000"/>
                <w:sz w:val="18"/>
                <w:szCs w:val="18"/>
              </w:rPr>
            </w:pPr>
          </w:p>
        </w:tc>
        <w:tc>
          <w:tcPr>
            <w:tcW w:w="2257" w:type="dxa"/>
            <w:tcBorders>
              <w:top w:val="nil"/>
              <w:left w:val="nil"/>
              <w:bottom w:val="nil"/>
              <w:right w:val="nil"/>
            </w:tcBorders>
            <w:shd w:val="clear" w:color="auto" w:fill="auto"/>
            <w:vAlign w:val="center"/>
          </w:tcPr>
          <w:p w14:paraId="147A4507">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2A786B52">
            <w:pPr>
              <w:rPr>
                <w:rFonts w:ascii="宋体" w:hAnsi="宋体" w:cs="宋体"/>
                <w:color w:val="000000"/>
                <w:sz w:val="18"/>
                <w:szCs w:val="18"/>
              </w:rPr>
            </w:pPr>
          </w:p>
        </w:tc>
        <w:tc>
          <w:tcPr>
            <w:tcW w:w="1672" w:type="dxa"/>
            <w:tcBorders>
              <w:top w:val="nil"/>
              <w:left w:val="nil"/>
              <w:bottom w:val="nil"/>
              <w:right w:val="nil"/>
            </w:tcBorders>
            <w:shd w:val="clear" w:color="auto" w:fill="auto"/>
            <w:vAlign w:val="center"/>
          </w:tcPr>
          <w:p w14:paraId="6CFBD716">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16CFCD4E">
            <w:pPr>
              <w:rPr>
                <w:rFonts w:ascii="宋体" w:hAnsi="宋体" w:cs="宋体"/>
                <w:color w:val="000000"/>
                <w:sz w:val="18"/>
                <w:szCs w:val="18"/>
              </w:rPr>
            </w:pPr>
          </w:p>
        </w:tc>
        <w:tc>
          <w:tcPr>
            <w:tcW w:w="1090" w:type="dxa"/>
            <w:tcBorders>
              <w:top w:val="nil"/>
              <w:left w:val="nil"/>
              <w:bottom w:val="nil"/>
              <w:right w:val="nil"/>
            </w:tcBorders>
            <w:shd w:val="clear" w:color="auto" w:fill="auto"/>
            <w:vAlign w:val="center"/>
          </w:tcPr>
          <w:p w14:paraId="5747DA0E">
            <w:pPr>
              <w:rPr>
                <w:rFonts w:ascii="宋体" w:hAnsi="宋体" w:cs="宋体"/>
                <w:color w:val="000000"/>
                <w:sz w:val="18"/>
                <w:szCs w:val="18"/>
              </w:rPr>
            </w:pPr>
          </w:p>
        </w:tc>
        <w:tc>
          <w:tcPr>
            <w:tcW w:w="505" w:type="dxa"/>
            <w:tcBorders>
              <w:top w:val="nil"/>
              <w:left w:val="nil"/>
              <w:bottom w:val="nil"/>
              <w:right w:val="nil"/>
            </w:tcBorders>
            <w:shd w:val="clear" w:color="auto" w:fill="auto"/>
            <w:vAlign w:val="center"/>
          </w:tcPr>
          <w:p w14:paraId="3B089E15">
            <w:pPr>
              <w:rPr>
                <w:rFonts w:ascii="宋体" w:hAnsi="宋体" w:cs="宋体"/>
                <w:color w:val="000000"/>
                <w:sz w:val="18"/>
                <w:szCs w:val="18"/>
              </w:rPr>
            </w:pPr>
          </w:p>
        </w:tc>
        <w:tc>
          <w:tcPr>
            <w:tcW w:w="486" w:type="dxa"/>
            <w:tcBorders>
              <w:top w:val="nil"/>
              <w:left w:val="nil"/>
              <w:bottom w:val="nil"/>
              <w:right w:val="nil"/>
            </w:tcBorders>
            <w:shd w:val="clear" w:color="auto" w:fill="auto"/>
            <w:vAlign w:val="center"/>
          </w:tcPr>
          <w:p w14:paraId="31291BC9">
            <w:pPr>
              <w:rPr>
                <w:rFonts w:ascii="宋体" w:hAnsi="宋体" w:cs="宋体"/>
                <w:color w:val="000000"/>
                <w:sz w:val="18"/>
                <w:szCs w:val="18"/>
              </w:rPr>
            </w:pPr>
          </w:p>
        </w:tc>
        <w:tc>
          <w:tcPr>
            <w:tcW w:w="3422" w:type="dxa"/>
            <w:tcBorders>
              <w:top w:val="nil"/>
              <w:left w:val="nil"/>
              <w:bottom w:val="nil"/>
              <w:right w:val="nil"/>
            </w:tcBorders>
            <w:shd w:val="clear" w:color="auto" w:fill="auto"/>
            <w:vAlign w:val="center"/>
          </w:tcPr>
          <w:p w14:paraId="3C1ABB22">
            <w:pPr>
              <w:rPr>
                <w:rFonts w:ascii="宋体" w:hAnsi="宋体" w:cs="宋体"/>
                <w:color w:val="000000"/>
                <w:sz w:val="18"/>
                <w:szCs w:val="18"/>
              </w:rPr>
            </w:pPr>
          </w:p>
        </w:tc>
      </w:tr>
      <w:tr w14:paraId="66396A77">
        <w:tblPrEx>
          <w:tblCellMar>
            <w:top w:w="0" w:type="dxa"/>
            <w:left w:w="108" w:type="dxa"/>
            <w:bottom w:w="0" w:type="dxa"/>
            <w:right w:w="108" w:type="dxa"/>
          </w:tblCellMar>
        </w:tblPrEx>
        <w:trPr>
          <w:trHeight w:val="904" w:hRule="atLeast"/>
        </w:trPr>
        <w:tc>
          <w:tcPr>
            <w:tcW w:w="149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80EDEC0">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14:paraId="1520A226">
        <w:tblPrEx>
          <w:tblCellMar>
            <w:top w:w="0" w:type="dxa"/>
            <w:left w:w="108" w:type="dxa"/>
            <w:bottom w:w="0" w:type="dxa"/>
            <w:right w:w="108" w:type="dxa"/>
          </w:tblCellMar>
        </w:tblPrEx>
        <w:trPr>
          <w:trHeight w:val="286"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6B59F">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项目名称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99A78E7">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51080022T000004911629-协警人员经费</w:t>
            </w:r>
          </w:p>
        </w:tc>
      </w:tr>
      <w:tr w14:paraId="0DD7A022">
        <w:tblPrEx>
          <w:tblCellMar>
            <w:top w:w="0" w:type="dxa"/>
            <w:left w:w="108" w:type="dxa"/>
            <w:bottom w:w="0" w:type="dxa"/>
            <w:right w:w="108" w:type="dxa"/>
          </w:tblCellMar>
        </w:tblPrEx>
        <w:trPr>
          <w:trHeight w:val="512"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3EDF2">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主管部门</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27F895E">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广元市公安局交通警察支队部门</w:t>
            </w:r>
          </w:p>
        </w:tc>
        <w:tc>
          <w:tcPr>
            <w:tcW w:w="1090" w:type="dxa"/>
            <w:tcBorders>
              <w:top w:val="nil"/>
              <w:left w:val="nil"/>
              <w:bottom w:val="nil"/>
              <w:right w:val="nil"/>
            </w:tcBorders>
            <w:shd w:val="clear" w:color="auto" w:fill="auto"/>
            <w:vAlign w:val="center"/>
          </w:tcPr>
          <w:p w14:paraId="4B980D33">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44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DFCD5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w:t>
            </w:r>
          </w:p>
        </w:tc>
      </w:tr>
      <w:tr w14:paraId="5F58F096">
        <w:tblPrEx>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08C9A1">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项目基本情况</w:t>
            </w: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5D2126">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1.项目年度目标完成情况</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2D377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项目年度目标</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658ED3">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14:paraId="458930CC">
        <w:tblPrEx>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E791D">
            <w:pP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2C909">
            <w:pPr>
              <w:rPr>
                <w:rFonts w:ascii="宋体" w:hAnsi="宋体" w:cs="宋体"/>
                <w:color w:val="000000"/>
                <w:sz w:val="18"/>
                <w:szCs w:val="18"/>
              </w:rPr>
            </w:pP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4FB727">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协助正式民警完成事故处理、交通秩序管理、车管业务等。</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7261C0D">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2024年，约提供了350个协警就业岗位，提高了道路交通管理工作效率。</w:t>
            </w:r>
          </w:p>
        </w:tc>
      </w:tr>
      <w:tr w14:paraId="4C9147DD">
        <w:tblPrEx>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648CA">
            <w:pP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F9853">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2.项目实施内容及过程概述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6A3DFEA">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该项目资金用于协警员经费支出，严格执行经费“使用审批”、“预算执行”、“管理监督”三个环节，硬化预算约束。</w:t>
            </w:r>
          </w:p>
        </w:tc>
      </w:tr>
      <w:tr w14:paraId="038BD5D6">
        <w:tblPrEx>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81943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预算执行情况（10分）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8B2E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年度预算数（万元）</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1EEC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2B7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FA142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57F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4E53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0E6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93C8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原因</w:t>
            </w:r>
          </w:p>
        </w:tc>
      </w:tr>
      <w:tr w14:paraId="6631A725">
        <w:tblPrEx>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93DAB">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3434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总额</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1076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1,750.00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F8A8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1,750.00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4FCE3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1,750.00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1B02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4C88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0E357">
            <w:pPr>
              <w:jc w:val="center"/>
              <w:rPr>
                <w:rFonts w:ascii="宋体" w:hAnsi="宋体" w:cs="宋体"/>
                <w:color w:val="000000"/>
                <w:sz w:val="18"/>
                <w:szCs w:val="18"/>
              </w:rPr>
            </w:pPr>
          </w:p>
        </w:tc>
        <w:tc>
          <w:tcPr>
            <w:tcW w:w="3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04BFFF">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439894F7">
        <w:tblPrEx>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D8B5C">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CFE7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其中：财政资金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BDAA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1,750.00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0DB8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1,750.00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C8100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1,750.00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A4B6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3672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EDB2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988F5">
            <w:pPr>
              <w:rPr>
                <w:rFonts w:ascii="黑体" w:hAnsi="黑体" w:eastAsia="黑体" w:cs="黑体"/>
                <w:i/>
                <w:iCs/>
                <w:color w:val="000000"/>
                <w:sz w:val="18"/>
                <w:szCs w:val="18"/>
              </w:rPr>
            </w:pPr>
          </w:p>
        </w:tc>
      </w:tr>
      <w:tr w14:paraId="110D2811">
        <w:tblPrEx>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7B0B7">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8FE7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财政专户管理资金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4368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7D9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BF510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F992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59C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A1D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4EFF2">
            <w:pPr>
              <w:rPr>
                <w:rFonts w:ascii="黑体" w:hAnsi="黑体" w:eastAsia="黑体" w:cs="黑体"/>
                <w:i/>
                <w:iCs/>
                <w:color w:val="000000"/>
                <w:sz w:val="18"/>
                <w:szCs w:val="18"/>
              </w:rPr>
            </w:pPr>
          </w:p>
        </w:tc>
      </w:tr>
      <w:tr w14:paraId="449D6216">
        <w:tblPrEx>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DA5A4">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3F8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单位资金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ECC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FB42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8EA35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1D7E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B684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C974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1990E">
            <w:pPr>
              <w:rPr>
                <w:rFonts w:ascii="黑体" w:hAnsi="黑体" w:eastAsia="黑体" w:cs="黑体"/>
                <w:i/>
                <w:iCs/>
                <w:color w:val="000000"/>
                <w:sz w:val="18"/>
                <w:szCs w:val="18"/>
              </w:rPr>
            </w:pPr>
          </w:p>
        </w:tc>
      </w:tr>
      <w:tr w14:paraId="2B6843F1">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42D82">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1246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其他资金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3580">
            <w:pPr>
              <w:jc w:val="center"/>
              <w:rPr>
                <w:rFonts w:ascii="微软雅黑" w:hAnsi="微软雅黑" w:eastAsia="微软雅黑" w:cs="微软雅黑"/>
                <w:i/>
                <w:iCs/>
                <w:color w:val="000000"/>
                <w:sz w:val="16"/>
                <w:szCs w:val="16"/>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9779B">
            <w:pPr>
              <w:jc w:val="center"/>
              <w:rPr>
                <w:rFonts w:ascii="微软雅黑" w:hAnsi="微软雅黑" w:eastAsia="微软雅黑" w:cs="微软雅黑"/>
                <w:i/>
                <w:iCs/>
                <w:color w:val="000000"/>
                <w:sz w:val="16"/>
                <w:szCs w:val="16"/>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17F727">
            <w:pPr>
              <w:jc w:val="center"/>
              <w:rPr>
                <w:rFonts w:ascii="微软雅黑" w:hAnsi="微软雅黑" w:eastAsia="微软雅黑" w:cs="微软雅黑"/>
                <w:i/>
                <w:iCs/>
                <w:color w:val="000000"/>
                <w:sz w:val="16"/>
                <w:szCs w:val="16"/>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592EC">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231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206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09A03">
            <w:pPr>
              <w:rPr>
                <w:rFonts w:ascii="黑体" w:hAnsi="黑体" w:eastAsia="黑体" w:cs="黑体"/>
                <w:i/>
                <w:iCs/>
                <w:color w:val="000000"/>
                <w:sz w:val="18"/>
                <w:szCs w:val="18"/>
              </w:rPr>
            </w:pPr>
          </w:p>
        </w:tc>
      </w:tr>
      <w:tr w14:paraId="2008B0CE">
        <w:tblPrEx>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929C2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绩效指标（90分）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2871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一级指标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D787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02C1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E3B5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4359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0160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1452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CFDD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39F9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D56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未完成原因分析</w:t>
            </w:r>
          </w:p>
        </w:tc>
      </w:tr>
      <w:tr w14:paraId="63BA84F2">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052FD">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8F20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产出指标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B77E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737A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协警员人数</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7A81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5FDB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350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47C0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人</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4F14">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350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7509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EC7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B5005">
            <w:pPr>
              <w:jc w:val="center"/>
              <w:rPr>
                <w:rFonts w:ascii="微软雅黑" w:hAnsi="微软雅黑" w:eastAsia="微软雅黑" w:cs="微软雅黑"/>
                <w:i/>
                <w:iCs/>
                <w:color w:val="000000"/>
                <w:sz w:val="16"/>
                <w:szCs w:val="16"/>
              </w:rPr>
            </w:pPr>
          </w:p>
        </w:tc>
      </w:tr>
      <w:tr w14:paraId="3707BE45">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B66C1">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96D86">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BF2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39C4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协警工作考核合格率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B5E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DE17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727C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FD44E">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7821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1189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7B58D">
            <w:pPr>
              <w:jc w:val="center"/>
              <w:rPr>
                <w:rFonts w:ascii="微软雅黑" w:hAnsi="微软雅黑" w:eastAsia="微软雅黑" w:cs="微软雅黑"/>
                <w:i/>
                <w:iCs/>
                <w:color w:val="000000"/>
                <w:sz w:val="16"/>
                <w:szCs w:val="16"/>
              </w:rPr>
            </w:pPr>
          </w:p>
        </w:tc>
      </w:tr>
      <w:tr w14:paraId="507A718E">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E4C9D">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A3B34">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B533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时效指标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430B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完成时间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F9C6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36DE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E90A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7EDE">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E9C8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B721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BF8D">
            <w:pPr>
              <w:jc w:val="center"/>
              <w:rPr>
                <w:rFonts w:ascii="微软雅黑" w:hAnsi="微软雅黑" w:eastAsia="微软雅黑" w:cs="微软雅黑"/>
                <w:i/>
                <w:iCs/>
                <w:color w:val="000000"/>
                <w:sz w:val="16"/>
                <w:szCs w:val="16"/>
              </w:rPr>
            </w:pPr>
          </w:p>
        </w:tc>
      </w:tr>
      <w:tr w14:paraId="132C592A">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D9892">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ED780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效益指标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9E78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29E2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向社会提供了部分就业岗位，增加家庭收入</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2AD1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548E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48A8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B5C32">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28C0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9140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1D54">
            <w:pPr>
              <w:jc w:val="center"/>
              <w:rPr>
                <w:rFonts w:ascii="微软雅黑" w:hAnsi="微软雅黑" w:eastAsia="微软雅黑" w:cs="微软雅黑"/>
                <w:i/>
                <w:iCs/>
                <w:color w:val="000000"/>
                <w:sz w:val="16"/>
                <w:szCs w:val="16"/>
              </w:rPr>
            </w:pPr>
          </w:p>
        </w:tc>
      </w:tr>
      <w:tr w14:paraId="46E62500">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9AE3B">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07CEA">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01A3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C017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提升业务办理效率，减少道路通行时间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6216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C86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E0B7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8FF0F">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50D7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17DE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F32BF">
            <w:pPr>
              <w:jc w:val="center"/>
              <w:rPr>
                <w:rFonts w:ascii="微软雅黑" w:hAnsi="微软雅黑" w:eastAsia="微软雅黑" w:cs="微软雅黑"/>
                <w:i/>
                <w:iCs/>
                <w:color w:val="000000"/>
                <w:sz w:val="16"/>
                <w:szCs w:val="16"/>
              </w:rPr>
            </w:pPr>
          </w:p>
        </w:tc>
      </w:tr>
      <w:tr w14:paraId="60E03888">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41704">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02C1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满意度指标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D48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服务对象满意度指标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ED35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广大交通参与者</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752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F238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1D2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F0E8">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FBB3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F40A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9AB9D">
            <w:pPr>
              <w:jc w:val="center"/>
              <w:rPr>
                <w:rFonts w:ascii="微软雅黑" w:hAnsi="微软雅黑" w:eastAsia="微软雅黑" w:cs="微软雅黑"/>
                <w:i/>
                <w:iCs/>
                <w:color w:val="000000"/>
                <w:sz w:val="16"/>
                <w:szCs w:val="16"/>
              </w:rPr>
            </w:pPr>
          </w:p>
        </w:tc>
      </w:tr>
      <w:tr w14:paraId="7AC7B7C0">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37F70">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9F9E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成本指标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1C4E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经济成本指标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E586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协警员工资、保险及福利等支出</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3A17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00E0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1750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744D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8225">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1750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661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6AD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56B5E">
            <w:pPr>
              <w:jc w:val="center"/>
              <w:rPr>
                <w:rFonts w:ascii="微软雅黑" w:hAnsi="微软雅黑" w:eastAsia="微软雅黑" w:cs="微软雅黑"/>
                <w:i/>
                <w:iCs/>
                <w:color w:val="000000"/>
                <w:sz w:val="16"/>
                <w:szCs w:val="16"/>
              </w:rPr>
            </w:pPr>
          </w:p>
        </w:tc>
      </w:tr>
      <w:tr w14:paraId="33EF1F61">
        <w:tblPrEx>
          <w:tblCellMar>
            <w:top w:w="0" w:type="dxa"/>
            <w:left w:w="108" w:type="dxa"/>
            <w:bottom w:w="0" w:type="dxa"/>
            <w:right w:w="108" w:type="dxa"/>
          </w:tblCellMar>
        </w:tblPrEx>
        <w:trPr>
          <w:trHeight w:val="286" w:hRule="atLeast"/>
        </w:trPr>
        <w:tc>
          <w:tcPr>
            <w:tcW w:w="105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1112FC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7FFE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A832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2E22B">
            <w:pPr>
              <w:rPr>
                <w:rFonts w:ascii="宋体" w:hAnsi="宋体" w:cs="宋体"/>
                <w:color w:val="000000"/>
                <w:sz w:val="18"/>
                <w:szCs w:val="18"/>
              </w:rPr>
            </w:pPr>
          </w:p>
        </w:tc>
      </w:tr>
      <w:tr w14:paraId="4E98F992">
        <w:tblPrEx>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77A5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评价结论</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AE6C5CD">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该项目自评得分100分。通过项目的实施，不仅保障了道路交通管理工作高质量完成，还提供了部分就业岗位，为社会减轻了就业压力。</w:t>
            </w:r>
          </w:p>
        </w:tc>
      </w:tr>
      <w:tr w14:paraId="5A885A05">
        <w:tblPrEx>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460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存在问题</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EF7D052">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716C05AF">
        <w:tblPrEx>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E751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改进措施</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A13E9E6">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2CD1A31F">
        <w:tblPrEx>
          <w:tblCellMar>
            <w:top w:w="0" w:type="dxa"/>
            <w:left w:w="108" w:type="dxa"/>
            <w:bottom w:w="0" w:type="dxa"/>
            <w:right w:w="108" w:type="dxa"/>
          </w:tblCellMar>
        </w:tblPrEx>
        <w:trPr>
          <w:trHeight w:val="286" w:hRule="atLeast"/>
        </w:trPr>
        <w:tc>
          <w:tcPr>
            <w:tcW w:w="7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947A97">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项目负责人：</w:t>
            </w:r>
          </w:p>
        </w:tc>
        <w:tc>
          <w:tcPr>
            <w:tcW w:w="76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25FADF2">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财务负责人：</w:t>
            </w:r>
          </w:p>
        </w:tc>
      </w:tr>
      <w:tr w14:paraId="64F79AB2">
        <w:tblPrEx>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14:paraId="2C90C363">
            <w:pPr>
              <w:rPr>
                <w:rFonts w:ascii="宋体" w:hAnsi="宋体" w:cs="宋体"/>
                <w:color w:val="000000"/>
                <w:sz w:val="18"/>
                <w:szCs w:val="18"/>
              </w:rPr>
            </w:pPr>
          </w:p>
        </w:tc>
        <w:tc>
          <w:tcPr>
            <w:tcW w:w="2044" w:type="dxa"/>
            <w:tcBorders>
              <w:top w:val="nil"/>
              <w:left w:val="nil"/>
              <w:bottom w:val="nil"/>
              <w:right w:val="nil"/>
            </w:tcBorders>
            <w:shd w:val="clear" w:color="auto" w:fill="auto"/>
            <w:vAlign w:val="center"/>
          </w:tcPr>
          <w:p w14:paraId="7C0179B6">
            <w:pPr>
              <w:rPr>
                <w:rFonts w:ascii="宋体" w:hAnsi="宋体" w:cs="宋体"/>
                <w:color w:val="000000"/>
                <w:sz w:val="18"/>
                <w:szCs w:val="18"/>
              </w:rPr>
            </w:pPr>
          </w:p>
        </w:tc>
        <w:tc>
          <w:tcPr>
            <w:tcW w:w="1771" w:type="dxa"/>
            <w:tcBorders>
              <w:top w:val="nil"/>
              <w:left w:val="nil"/>
              <w:bottom w:val="nil"/>
              <w:right w:val="nil"/>
            </w:tcBorders>
            <w:shd w:val="clear" w:color="auto" w:fill="auto"/>
            <w:vAlign w:val="center"/>
          </w:tcPr>
          <w:p w14:paraId="7C7B7AD7">
            <w:pPr>
              <w:rPr>
                <w:rFonts w:ascii="宋体" w:hAnsi="宋体" w:cs="宋体"/>
                <w:color w:val="000000"/>
                <w:sz w:val="18"/>
                <w:szCs w:val="18"/>
              </w:rPr>
            </w:pPr>
          </w:p>
        </w:tc>
        <w:tc>
          <w:tcPr>
            <w:tcW w:w="2257" w:type="dxa"/>
            <w:tcBorders>
              <w:top w:val="nil"/>
              <w:left w:val="nil"/>
              <w:bottom w:val="nil"/>
              <w:right w:val="nil"/>
            </w:tcBorders>
            <w:shd w:val="clear" w:color="auto" w:fill="auto"/>
            <w:vAlign w:val="center"/>
          </w:tcPr>
          <w:p w14:paraId="1712F7DE">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0351602B">
            <w:pPr>
              <w:rPr>
                <w:rFonts w:ascii="宋体" w:hAnsi="宋体" w:cs="宋体"/>
                <w:color w:val="000000"/>
                <w:sz w:val="18"/>
                <w:szCs w:val="18"/>
              </w:rPr>
            </w:pPr>
          </w:p>
        </w:tc>
        <w:tc>
          <w:tcPr>
            <w:tcW w:w="1672" w:type="dxa"/>
            <w:tcBorders>
              <w:top w:val="nil"/>
              <w:left w:val="nil"/>
              <w:bottom w:val="nil"/>
              <w:right w:val="nil"/>
            </w:tcBorders>
            <w:shd w:val="clear" w:color="auto" w:fill="auto"/>
            <w:vAlign w:val="center"/>
          </w:tcPr>
          <w:p w14:paraId="4C7EE01B">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2DE4871D">
            <w:pPr>
              <w:rPr>
                <w:rFonts w:ascii="宋体" w:hAnsi="宋体" w:cs="宋体"/>
                <w:color w:val="000000"/>
                <w:sz w:val="18"/>
                <w:szCs w:val="18"/>
              </w:rPr>
            </w:pPr>
          </w:p>
        </w:tc>
        <w:tc>
          <w:tcPr>
            <w:tcW w:w="1090" w:type="dxa"/>
            <w:tcBorders>
              <w:top w:val="nil"/>
              <w:left w:val="nil"/>
              <w:bottom w:val="nil"/>
              <w:right w:val="nil"/>
            </w:tcBorders>
            <w:shd w:val="clear" w:color="auto" w:fill="auto"/>
            <w:vAlign w:val="center"/>
          </w:tcPr>
          <w:p w14:paraId="449E075E">
            <w:pPr>
              <w:rPr>
                <w:rFonts w:ascii="宋体" w:hAnsi="宋体" w:cs="宋体"/>
                <w:color w:val="000000"/>
                <w:sz w:val="18"/>
                <w:szCs w:val="18"/>
              </w:rPr>
            </w:pPr>
          </w:p>
        </w:tc>
        <w:tc>
          <w:tcPr>
            <w:tcW w:w="505" w:type="dxa"/>
            <w:tcBorders>
              <w:top w:val="nil"/>
              <w:left w:val="nil"/>
              <w:bottom w:val="nil"/>
              <w:right w:val="nil"/>
            </w:tcBorders>
            <w:shd w:val="clear" w:color="auto" w:fill="auto"/>
            <w:vAlign w:val="center"/>
          </w:tcPr>
          <w:p w14:paraId="611B17DB">
            <w:pPr>
              <w:rPr>
                <w:rFonts w:ascii="宋体" w:hAnsi="宋体" w:cs="宋体"/>
                <w:color w:val="000000"/>
                <w:sz w:val="18"/>
                <w:szCs w:val="18"/>
              </w:rPr>
            </w:pPr>
          </w:p>
        </w:tc>
        <w:tc>
          <w:tcPr>
            <w:tcW w:w="486" w:type="dxa"/>
            <w:tcBorders>
              <w:top w:val="nil"/>
              <w:left w:val="nil"/>
              <w:bottom w:val="nil"/>
              <w:right w:val="nil"/>
            </w:tcBorders>
            <w:shd w:val="clear" w:color="auto" w:fill="auto"/>
            <w:vAlign w:val="center"/>
          </w:tcPr>
          <w:p w14:paraId="1FB50166">
            <w:pPr>
              <w:rPr>
                <w:rFonts w:ascii="宋体" w:hAnsi="宋体" w:cs="宋体"/>
                <w:color w:val="000000"/>
                <w:sz w:val="18"/>
                <w:szCs w:val="18"/>
              </w:rPr>
            </w:pPr>
          </w:p>
        </w:tc>
        <w:tc>
          <w:tcPr>
            <w:tcW w:w="3422" w:type="dxa"/>
            <w:tcBorders>
              <w:top w:val="nil"/>
              <w:left w:val="nil"/>
              <w:bottom w:val="nil"/>
              <w:right w:val="nil"/>
            </w:tcBorders>
            <w:shd w:val="clear" w:color="auto" w:fill="auto"/>
            <w:vAlign w:val="center"/>
          </w:tcPr>
          <w:p w14:paraId="43B7D9FF">
            <w:pPr>
              <w:rPr>
                <w:rFonts w:ascii="宋体" w:hAnsi="宋体" w:cs="宋体"/>
                <w:color w:val="000000"/>
                <w:sz w:val="18"/>
                <w:szCs w:val="18"/>
              </w:rPr>
            </w:pPr>
          </w:p>
        </w:tc>
      </w:tr>
      <w:tr w14:paraId="631A568E">
        <w:tblPrEx>
          <w:tblCellMar>
            <w:top w:w="0" w:type="dxa"/>
            <w:left w:w="108" w:type="dxa"/>
            <w:bottom w:w="0" w:type="dxa"/>
            <w:right w:w="108" w:type="dxa"/>
          </w:tblCellMar>
        </w:tblPrEx>
        <w:trPr>
          <w:trHeight w:val="904" w:hRule="atLeast"/>
        </w:trPr>
        <w:tc>
          <w:tcPr>
            <w:tcW w:w="149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F93BD54">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14:paraId="356394D2">
        <w:tblPrEx>
          <w:tblCellMar>
            <w:top w:w="0" w:type="dxa"/>
            <w:left w:w="108" w:type="dxa"/>
            <w:bottom w:w="0" w:type="dxa"/>
            <w:right w:w="108" w:type="dxa"/>
          </w:tblCellMar>
        </w:tblPrEx>
        <w:trPr>
          <w:trHeight w:val="286"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CF2E78">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项目名称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CA2EDC1">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51080022T000004911693-交通事故处理费</w:t>
            </w:r>
          </w:p>
        </w:tc>
      </w:tr>
      <w:tr w14:paraId="6AB97378">
        <w:tblPrEx>
          <w:tblCellMar>
            <w:top w:w="0" w:type="dxa"/>
            <w:left w:w="108" w:type="dxa"/>
            <w:bottom w:w="0" w:type="dxa"/>
            <w:right w:w="108" w:type="dxa"/>
          </w:tblCellMar>
        </w:tblPrEx>
        <w:trPr>
          <w:trHeight w:val="512"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EDF68F">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主管部门</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41F5EE">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广元市公安局交通警察支队部门</w:t>
            </w:r>
          </w:p>
        </w:tc>
        <w:tc>
          <w:tcPr>
            <w:tcW w:w="1090" w:type="dxa"/>
            <w:tcBorders>
              <w:top w:val="nil"/>
              <w:left w:val="nil"/>
              <w:bottom w:val="nil"/>
              <w:right w:val="nil"/>
            </w:tcBorders>
            <w:shd w:val="clear" w:color="auto" w:fill="auto"/>
            <w:vAlign w:val="center"/>
          </w:tcPr>
          <w:p w14:paraId="7290BA95">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44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DF6F1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w:t>
            </w:r>
          </w:p>
        </w:tc>
      </w:tr>
      <w:tr w14:paraId="59623E01">
        <w:tblPrEx>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588482">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项目基本情况</w:t>
            </w: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C5BC56">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1.项目年度目标完成情况</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885EC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项目年度目标</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3244B8">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14:paraId="13CBF732">
        <w:tblPrEx>
          <w:tblCellMar>
            <w:top w:w="0" w:type="dxa"/>
            <w:left w:w="108" w:type="dxa"/>
            <w:bottom w:w="0" w:type="dxa"/>
            <w:right w:w="108" w:type="dxa"/>
          </w:tblCellMar>
        </w:tblPrEx>
        <w:trPr>
          <w:trHeight w:val="134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D206B">
            <w:pP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C6EAA">
            <w:pPr>
              <w:rPr>
                <w:rFonts w:ascii="宋体" w:hAnsi="宋体" w:cs="宋体"/>
                <w:color w:val="000000"/>
                <w:sz w:val="18"/>
                <w:szCs w:val="18"/>
              </w:rPr>
            </w:pP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1668E7">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 xml:space="preserve"> 1、道路交通事故现场处置。2、交通事故责任认定。3、交通事故调解和逃逸案件的侦破。</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E9C9E68">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全年全市共发生一般程序道路交通事故1042起、死亡155人、受伤1229人、财产损失262.3余万元，同比分别上升5.0%、下降0.7%、下降3.3%、下降8.2%，连续144个月没有发生一起一次死亡5人的较大道路交通事故。</w:t>
            </w:r>
          </w:p>
        </w:tc>
      </w:tr>
      <w:tr w14:paraId="29C7A0BD">
        <w:tblPrEx>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30155">
            <w:pP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F150B">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2.项目实施内容及过程概述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BF479F3">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该项目经费主要用于差旅、油料等支出，由支队统筹使用，严格执行经费“使用审批”、“预算执行”、“管理监督”三个环节，硬化预算约束。</w:t>
            </w:r>
          </w:p>
        </w:tc>
      </w:tr>
      <w:tr w14:paraId="5BDEC108">
        <w:tblPrEx>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6654E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预算执行情况（10分）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6943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年度预算数（万元）</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4047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302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1E448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B8A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7D6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933D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E0A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原因</w:t>
            </w:r>
          </w:p>
        </w:tc>
      </w:tr>
      <w:tr w14:paraId="10C31611">
        <w:tblPrEx>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CCFE7">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5C90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总额</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2909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30.00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59B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30.00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A4071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30.00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B9A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635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98628">
            <w:pPr>
              <w:jc w:val="center"/>
              <w:rPr>
                <w:rFonts w:ascii="宋体" w:hAnsi="宋体" w:cs="宋体"/>
                <w:color w:val="000000"/>
                <w:sz w:val="18"/>
                <w:szCs w:val="18"/>
              </w:rPr>
            </w:pPr>
          </w:p>
        </w:tc>
        <w:tc>
          <w:tcPr>
            <w:tcW w:w="3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47B97">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711E5A93">
        <w:tblPrEx>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AEF66">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2D7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其中：财政资金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EABD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30.00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9B73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30.00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52B78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30.00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9E98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1B4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1C0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9038A">
            <w:pPr>
              <w:rPr>
                <w:rFonts w:ascii="黑体" w:hAnsi="黑体" w:eastAsia="黑体" w:cs="黑体"/>
                <w:i/>
                <w:iCs/>
                <w:color w:val="000000"/>
                <w:sz w:val="18"/>
                <w:szCs w:val="18"/>
              </w:rPr>
            </w:pPr>
          </w:p>
        </w:tc>
      </w:tr>
      <w:tr w14:paraId="21D6FEC5">
        <w:tblPrEx>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6FFDF">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A41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财政专户管理资金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FF9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3AF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D92DC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AC0A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742F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3C13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3EFFD">
            <w:pPr>
              <w:rPr>
                <w:rFonts w:ascii="黑体" w:hAnsi="黑体" w:eastAsia="黑体" w:cs="黑体"/>
                <w:i/>
                <w:iCs/>
                <w:color w:val="000000"/>
                <w:sz w:val="18"/>
                <w:szCs w:val="18"/>
              </w:rPr>
            </w:pPr>
          </w:p>
        </w:tc>
      </w:tr>
      <w:tr w14:paraId="12A3363C">
        <w:tblPrEx>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43459">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703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单位资金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351F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11C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AF4B4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66C9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9078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B49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9D0F8">
            <w:pPr>
              <w:rPr>
                <w:rFonts w:ascii="黑体" w:hAnsi="黑体" w:eastAsia="黑体" w:cs="黑体"/>
                <w:i/>
                <w:iCs/>
                <w:color w:val="000000"/>
                <w:sz w:val="18"/>
                <w:szCs w:val="18"/>
              </w:rPr>
            </w:pPr>
          </w:p>
        </w:tc>
      </w:tr>
      <w:tr w14:paraId="49827E5D">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8F1E3">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8B9C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其他资金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189A">
            <w:pPr>
              <w:jc w:val="center"/>
              <w:rPr>
                <w:rFonts w:ascii="微软雅黑" w:hAnsi="微软雅黑" w:eastAsia="微软雅黑" w:cs="微软雅黑"/>
                <w:i/>
                <w:iCs/>
                <w:color w:val="000000"/>
                <w:sz w:val="16"/>
                <w:szCs w:val="16"/>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91C4E">
            <w:pPr>
              <w:jc w:val="center"/>
              <w:rPr>
                <w:rFonts w:ascii="微软雅黑" w:hAnsi="微软雅黑" w:eastAsia="微软雅黑" w:cs="微软雅黑"/>
                <w:i/>
                <w:iCs/>
                <w:color w:val="000000"/>
                <w:sz w:val="16"/>
                <w:szCs w:val="16"/>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D59ABA">
            <w:pPr>
              <w:jc w:val="center"/>
              <w:rPr>
                <w:rFonts w:ascii="微软雅黑" w:hAnsi="微软雅黑" w:eastAsia="微软雅黑" w:cs="微软雅黑"/>
                <w:i/>
                <w:iCs/>
                <w:color w:val="000000"/>
                <w:sz w:val="16"/>
                <w:szCs w:val="16"/>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46A48">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844D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0CA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D9704">
            <w:pPr>
              <w:rPr>
                <w:rFonts w:ascii="黑体" w:hAnsi="黑体" w:eastAsia="黑体" w:cs="黑体"/>
                <w:i/>
                <w:iCs/>
                <w:color w:val="000000"/>
                <w:sz w:val="18"/>
                <w:szCs w:val="18"/>
              </w:rPr>
            </w:pPr>
          </w:p>
        </w:tc>
      </w:tr>
      <w:tr w14:paraId="038A0EB2">
        <w:tblPrEx>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C045A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绩效指标（90分）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9C1C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一级指标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BF37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2E1C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D7D9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518A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072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E12F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C9B2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2DF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644F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未完成原因分析</w:t>
            </w:r>
          </w:p>
        </w:tc>
      </w:tr>
      <w:tr w14:paraId="3CF50F96">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EA9DC">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B93F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产出指标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804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52FB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处理交通事故数</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1B9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6435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61E7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起</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806C4">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1042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FE6B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A22F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3729">
            <w:pPr>
              <w:jc w:val="center"/>
              <w:rPr>
                <w:rFonts w:ascii="微软雅黑" w:hAnsi="微软雅黑" w:eastAsia="微软雅黑" w:cs="微软雅黑"/>
                <w:i/>
                <w:iCs/>
                <w:color w:val="000000"/>
                <w:sz w:val="16"/>
                <w:szCs w:val="16"/>
              </w:rPr>
            </w:pPr>
          </w:p>
        </w:tc>
      </w:tr>
      <w:tr w14:paraId="1D64C85F">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26ACA">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10D1C">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877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AE6E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交通事故处理率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6BD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0B39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E316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5ADB4">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D54F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E6C2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2EE8A">
            <w:pPr>
              <w:jc w:val="center"/>
              <w:rPr>
                <w:rFonts w:ascii="微软雅黑" w:hAnsi="微软雅黑" w:eastAsia="微软雅黑" w:cs="微软雅黑"/>
                <w:i/>
                <w:iCs/>
                <w:color w:val="000000"/>
                <w:sz w:val="16"/>
                <w:szCs w:val="16"/>
              </w:rPr>
            </w:pPr>
          </w:p>
        </w:tc>
      </w:tr>
      <w:tr w14:paraId="75103234">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6C7FF">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30F10">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5CD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时效指标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1A6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完成时间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ECF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FBF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0900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4F52F">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00D9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B2B6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E334F">
            <w:pPr>
              <w:jc w:val="center"/>
              <w:rPr>
                <w:rFonts w:ascii="微软雅黑" w:hAnsi="微软雅黑" w:eastAsia="微软雅黑" w:cs="微软雅黑"/>
                <w:i/>
                <w:iCs/>
                <w:color w:val="000000"/>
                <w:sz w:val="16"/>
                <w:szCs w:val="16"/>
              </w:rPr>
            </w:pPr>
          </w:p>
        </w:tc>
      </w:tr>
      <w:tr w14:paraId="2A87E3A1">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28960">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53AB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效益指标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D3AC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F3D0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交通事故快速有效处理</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AB5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2B37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976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CDD82">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C8EF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A362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47F7E">
            <w:pPr>
              <w:jc w:val="center"/>
              <w:rPr>
                <w:rFonts w:ascii="微软雅黑" w:hAnsi="微软雅黑" w:eastAsia="微软雅黑" w:cs="微软雅黑"/>
                <w:i/>
                <w:iCs/>
                <w:color w:val="000000"/>
                <w:sz w:val="16"/>
                <w:szCs w:val="16"/>
              </w:rPr>
            </w:pPr>
          </w:p>
        </w:tc>
      </w:tr>
      <w:tr w14:paraId="32C823ED">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2FFDD">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C24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满意度指标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E3E9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服务对象满意度指标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AFF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交通参与者</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7A6D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2C72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D5B0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1AF6C">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EB2F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2D72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CAE9">
            <w:pPr>
              <w:jc w:val="center"/>
              <w:rPr>
                <w:rFonts w:ascii="微软雅黑" w:hAnsi="微软雅黑" w:eastAsia="微软雅黑" w:cs="微软雅黑"/>
                <w:i/>
                <w:iCs/>
                <w:color w:val="000000"/>
                <w:sz w:val="16"/>
                <w:szCs w:val="16"/>
              </w:rPr>
            </w:pPr>
          </w:p>
        </w:tc>
      </w:tr>
      <w:tr w14:paraId="33580F5E">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6E5C8">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98A2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成本指标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D65E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经济成本指标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FCB0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出警车油耗、事故检测耗材等费用</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7A24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54B1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30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D43D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1102">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30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5C71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C702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1ACFA">
            <w:pPr>
              <w:jc w:val="center"/>
              <w:rPr>
                <w:rFonts w:ascii="微软雅黑" w:hAnsi="微软雅黑" w:eastAsia="微软雅黑" w:cs="微软雅黑"/>
                <w:i/>
                <w:iCs/>
                <w:color w:val="000000"/>
                <w:sz w:val="16"/>
                <w:szCs w:val="16"/>
              </w:rPr>
            </w:pPr>
          </w:p>
        </w:tc>
      </w:tr>
      <w:tr w14:paraId="090991A0">
        <w:tblPrEx>
          <w:tblCellMar>
            <w:top w:w="0" w:type="dxa"/>
            <w:left w:w="108" w:type="dxa"/>
            <w:bottom w:w="0" w:type="dxa"/>
            <w:right w:w="108" w:type="dxa"/>
          </w:tblCellMar>
        </w:tblPrEx>
        <w:trPr>
          <w:trHeight w:val="286" w:hRule="atLeast"/>
        </w:trPr>
        <w:tc>
          <w:tcPr>
            <w:tcW w:w="105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56F430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6654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5263">
            <w:pPr>
              <w:widowControl/>
              <w:jc w:val="right"/>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AF87D">
            <w:pPr>
              <w:rPr>
                <w:rFonts w:ascii="宋体" w:hAnsi="宋体" w:cs="宋体"/>
                <w:color w:val="000000"/>
                <w:sz w:val="18"/>
                <w:szCs w:val="18"/>
              </w:rPr>
            </w:pPr>
          </w:p>
        </w:tc>
      </w:tr>
      <w:tr w14:paraId="6C750F6A">
        <w:tblPrEx>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4E88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评价结论</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BA07563">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该项目自评得分100分。2024年全市共发生一般程序道路交通事故1042起、死亡155人、受伤1229人、财产损失262.3余万元，同比分别上升5.0%、下降0.7%、下降3.3%、下降8.2%，连续144个月没有发生一起一次死亡5人的较大道路交通事故。</w:t>
            </w:r>
          </w:p>
        </w:tc>
      </w:tr>
      <w:tr w14:paraId="2ACE716C">
        <w:tblPrEx>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5DD1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存在问题</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944AFF5">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2378688E">
        <w:tblPrEx>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EA22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改进措施</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01017DD">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2E0D632E">
        <w:tblPrEx>
          <w:tblCellMar>
            <w:top w:w="0" w:type="dxa"/>
            <w:left w:w="108" w:type="dxa"/>
            <w:bottom w:w="0" w:type="dxa"/>
            <w:right w:w="108" w:type="dxa"/>
          </w:tblCellMar>
        </w:tblPrEx>
        <w:trPr>
          <w:trHeight w:val="286" w:hRule="atLeast"/>
        </w:trPr>
        <w:tc>
          <w:tcPr>
            <w:tcW w:w="7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0572D9">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项目负责人：</w:t>
            </w:r>
          </w:p>
        </w:tc>
        <w:tc>
          <w:tcPr>
            <w:tcW w:w="76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2A7AFA">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财务负责人：</w:t>
            </w:r>
          </w:p>
        </w:tc>
      </w:tr>
      <w:tr w14:paraId="1A63D7A3">
        <w:tblPrEx>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14:paraId="65D0CFAA">
            <w:pPr>
              <w:rPr>
                <w:rFonts w:ascii="宋体" w:hAnsi="宋体" w:cs="宋体"/>
                <w:color w:val="000000"/>
                <w:sz w:val="18"/>
                <w:szCs w:val="18"/>
              </w:rPr>
            </w:pPr>
          </w:p>
        </w:tc>
        <w:tc>
          <w:tcPr>
            <w:tcW w:w="2044" w:type="dxa"/>
            <w:tcBorders>
              <w:top w:val="nil"/>
              <w:left w:val="nil"/>
              <w:bottom w:val="nil"/>
              <w:right w:val="nil"/>
            </w:tcBorders>
            <w:shd w:val="clear" w:color="auto" w:fill="auto"/>
            <w:vAlign w:val="center"/>
          </w:tcPr>
          <w:p w14:paraId="5CD279FC">
            <w:pPr>
              <w:rPr>
                <w:rFonts w:ascii="宋体" w:hAnsi="宋体" w:cs="宋体"/>
                <w:color w:val="000000"/>
                <w:sz w:val="18"/>
                <w:szCs w:val="18"/>
              </w:rPr>
            </w:pPr>
          </w:p>
        </w:tc>
        <w:tc>
          <w:tcPr>
            <w:tcW w:w="1771" w:type="dxa"/>
            <w:tcBorders>
              <w:top w:val="nil"/>
              <w:left w:val="nil"/>
              <w:bottom w:val="nil"/>
              <w:right w:val="nil"/>
            </w:tcBorders>
            <w:shd w:val="clear" w:color="auto" w:fill="auto"/>
            <w:vAlign w:val="center"/>
          </w:tcPr>
          <w:p w14:paraId="3E4B6A51">
            <w:pPr>
              <w:rPr>
                <w:rFonts w:ascii="宋体" w:hAnsi="宋体" w:cs="宋体"/>
                <w:color w:val="000000"/>
                <w:sz w:val="18"/>
                <w:szCs w:val="18"/>
              </w:rPr>
            </w:pPr>
          </w:p>
        </w:tc>
        <w:tc>
          <w:tcPr>
            <w:tcW w:w="2257" w:type="dxa"/>
            <w:tcBorders>
              <w:top w:val="nil"/>
              <w:left w:val="nil"/>
              <w:bottom w:val="nil"/>
              <w:right w:val="nil"/>
            </w:tcBorders>
            <w:shd w:val="clear" w:color="auto" w:fill="auto"/>
            <w:vAlign w:val="center"/>
          </w:tcPr>
          <w:p w14:paraId="3A5B6241">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1553466C">
            <w:pPr>
              <w:rPr>
                <w:rFonts w:ascii="宋体" w:hAnsi="宋体" w:cs="宋体"/>
                <w:color w:val="000000"/>
                <w:sz w:val="18"/>
                <w:szCs w:val="18"/>
              </w:rPr>
            </w:pPr>
          </w:p>
        </w:tc>
        <w:tc>
          <w:tcPr>
            <w:tcW w:w="1672" w:type="dxa"/>
            <w:tcBorders>
              <w:top w:val="nil"/>
              <w:left w:val="nil"/>
              <w:bottom w:val="nil"/>
              <w:right w:val="nil"/>
            </w:tcBorders>
            <w:shd w:val="clear" w:color="auto" w:fill="auto"/>
            <w:vAlign w:val="center"/>
          </w:tcPr>
          <w:p w14:paraId="3B751BD9">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5241FA71">
            <w:pPr>
              <w:rPr>
                <w:rFonts w:ascii="宋体" w:hAnsi="宋体" w:cs="宋体"/>
                <w:color w:val="000000"/>
                <w:sz w:val="18"/>
                <w:szCs w:val="18"/>
              </w:rPr>
            </w:pPr>
          </w:p>
        </w:tc>
        <w:tc>
          <w:tcPr>
            <w:tcW w:w="1090" w:type="dxa"/>
            <w:tcBorders>
              <w:top w:val="nil"/>
              <w:left w:val="nil"/>
              <w:bottom w:val="nil"/>
              <w:right w:val="nil"/>
            </w:tcBorders>
            <w:shd w:val="clear" w:color="auto" w:fill="auto"/>
            <w:vAlign w:val="center"/>
          </w:tcPr>
          <w:p w14:paraId="429577A4">
            <w:pPr>
              <w:rPr>
                <w:rFonts w:ascii="宋体" w:hAnsi="宋体" w:cs="宋体"/>
                <w:color w:val="000000"/>
                <w:sz w:val="18"/>
                <w:szCs w:val="18"/>
              </w:rPr>
            </w:pPr>
          </w:p>
        </w:tc>
        <w:tc>
          <w:tcPr>
            <w:tcW w:w="505" w:type="dxa"/>
            <w:tcBorders>
              <w:top w:val="nil"/>
              <w:left w:val="nil"/>
              <w:bottom w:val="nil"/>
              <w:right w:val="nil"/>
            </w:tcBorders>
            <w:shd w:val="clear" w:color="auto" w:fill="auto"/>
            <w:vAlign w:val="center"/>
          </w:tcPr>
          <w:p w14:paraId="0ED0C6CA">
            <w:pPr>
              <w:rPr>
                <w:rFonts w:ascii="宋体" w:hAnsi="宋体" w:cs="宋体"/>
                <w:color w:val="000000"/>
                <w:sz w:val="18"/>
                <w:szCs w:val="18"/>
              </w:rPr>
            </w:pPr>
          </w:p>
        </w:tc>
        <w:tc>
          <w:tcPr>
            <w:tcW w:w="486" w:type="dxa"/>
            <w:tcBorders>
              <w:top w:val="nil"/>
              <w:left w:val="nil"/>
              <w:bottom w:val="nil"/>
              <w:right w:val="nil"/>
            </w:tcBorders>
            <w:shd w:val="clear" w:color="auto" w:fill="auto"/>
            <w:vAlign w:val="center"/>
          </w:tcPr>
          <w:p w14:paraId="62281184">
            <w:pPr>
              <w:rPr>
                <w:rFonts w:ascii="宋体" w:hAnsi="宋体" w:cs="宋体"/>
                <w:color w:val="000000"/>
                <w:sz w:val="18"/>
                <w:szCs w:val="18"/>
              </w:rPr>
            </w:pPr>
          </w:p>
        </w:tc>
        <w:tc>
          <w:tcPr>
            <w:tcW w:w="3422" w:type="dxa"/>
            <w:tcBorders>
              <w:top w:val="nil"/>
              <w:left w:val="nil"/>
              <w:bottom w:val="nil"/>
              <w:right w:val="nil"/>
            </w:tcBorders>
            <w:shd w:val="clear" w:color="auto" w:fill="auto"/>
            <w:vAlign w:val="center"/>
          </w:tcPr>
          <w:p w14:paraId="43A66EA2">
            <w:pPr>
              <w:rPr>
                <w:rFonts w:ascii="宋体" w:hAnsi="宋体" w:cs="宋体"/>
                <w:color w:val="000000"/>
                <w:sz w:val="18"/>
                <w:szCs w:val="18"/>
              </w:rPr>
            </w:pPr>
          </w:p>
        </w:tc>
      </w:tr>
      <w:tr w14:paraId="581CCD9E">
        <w:tblPrEx>
          <w:tblCellMar>
            <w:top w:w="0" w:type="dxa"/>
            <w:left w:w="108" w:type="dxa"/>
            <w:bottom w:w="0" w:type="dxa"/>
            <w:right w:w="108" w:type="dxa"/>
          </w:tblCellMar>
        </w:tblPrEx>
        <w:trPr>
          <w:trHeight w:val="904" w:hRule="atLeast"/>
        </w:trPr>
        <w:tc>
          <w:tcPr>
            <w:tcW w:w="149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7D18568">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14:paraId="26693843">
        <w:tblPrEx>
          <w:tblCellMar>
            <w:top w:w="0" w:type="dxa"/>
            <w:left w:w="108" w:type="dxa"/>
            <w:bottom w:w="0" w:type="dxa"/>
            <w:right w:w="108" w:type="dxa"/>
          </w:tblCellMar>
        </w:tblPrEx>
        <w:trPr>
          <w:trHeight w:val="286"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ED057">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项目名称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4F7A351">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51080022T000004912070-交通安全宣传费</w:t>
            </w:r>
          </w:p>
        </w:tc>
      </w:tr>
      <w:tr w14:paraId="423D411E">
        <w:tblPrEx>
          <w:tblCellMar>
            <w:top w:w="0" w:type="dxa"/>
            <w:left w:w="108" w:type="dxa"/>
            <w:bottom w:w="0" w:type="dxa"/>
            <w:right w:w="108" w:type="dxa"/>
          </w:tblCellMar>
        </w:tblPrEx>
        <w:trPr>
          <w:trHeight w:val="512"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01381">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主管部门</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D9460B">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广元市公安局交通警察支队部门</w:t>
            </w:r>
          </w:p>
        </w:tc>
        <w:tc>
          <w:tcPr>
            <w:tcW w:w="1090" w:type="dxa"/>
            <w:tcBorders>
              <w:top w:val="nil"/>
              <w:left w:val="nil"/>
              <w:bottom w:val="nil"/>
              <w:right w:val="nil"/>
            </w:tcBorders>
            <w:shd w:val="clear" w:color="auto" w:fill="auto"/>
            <w:vAlign w:val="center"/>
          </w:tcPr>
          <w:p w14:paraId="2FA383F4">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44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439A8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w:t>
            </w:r>
          </w:p>
        </w:tc>
      </w:tr>
      <w:tr w14:paraId="72A42CEB">
        <w:tblPrEx>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59E27C">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项目基本情况</w:t>
            </w: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96498B">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1.项目年度目标完成情况</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E0986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项目年度目标</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6BF0946">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14:paraId="75D8B529">
        <w:tblPrEx>
          <w:tblCellMar>
            <w:top w:w="0" w:type="dxa"/>
            <w:left w:w="108" w:type="dxa"/>
            <w:bottom w:w="0" w:type="dxa"/>
            <w:right w:w="108" w:type="dxa"/>
          </w:tblCellMar>
        </w:tblPrEx>
        <w:trPr>
          <w:trHeight w:val="152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FB9E4">
            <w:pP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96FB8">
            <w:pPr>
              <w:rPr>
                <w:rFonts w:ascii="宋体" w:hAnsi="宋体" w:cs="宋体"/>
                <w:color w:val="000000"/>
                <w:sz w:val="18"/>
                <w:szCs w:val="18"/>
              </w:rPr>
            </w:pP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298FA8">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 xml:space="preserve"> 通过报纸、电台、电视台、互联网等宣传交通安全知识，实时开展“大曝光”、“大警示”、“大直播”等宣传行动，曝光典型案例，公布终身禁驾人员，举办交通安全宣传，开展执法大直播，极大提升了交通参与者的素质。</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A9E42D">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联合开展“美丽乡村行巡回宣讲”“小手拉大手”“交通安全七进、六上”系列活动50余场次，持续提升交通参与者文明交通素养；联动媒体合成作战，警示曝光典型案例120余篇次、创作短视频200余个。</w:t>
            </w:r>
          </w:p>
        </w:tc>
      </w:tr>
      <w:tr w14:paraId="69015781">
        <w:tblPrEx>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4B656">
            <w:pP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B7C6">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2.项目实施内容及过程概述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E781BBB">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该项目资金用于交通安全宣传支出，就项目具体内容、所需资金、工作目标等形成报告，报告提交交警支队党总支会议审核，审核通过后根据财政批复情况由法制宣传科具体进行实施。</w:t>
            </w:r>
          </w:p>
        </w:tc>
      </w:tr>
      <w:tr w14:paraId="3269B656">
        <w:tblPrEx>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0BD0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预算执行情况（10分）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5BB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年度预算数（万元）</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45B0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628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D7485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5ADC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A3E0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057B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645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原因</w:t>
            </w:r>
          </w:p>
        </w:tc>
      </w:tr>
      <w:tr w14:paraId="4DD371FE">
        <w:tblPrEx>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DDC77">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C306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总额</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F713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B4D9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BC191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C31F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9E8C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1404">
            <w:pPr>
              <w:jc w:val="center"/>
              <w:rPr>
                <w:rFonts w:ascii="宋体" w:hAnsi="宋体" w:cs="宋体"/>
                <w:color w:val="000000"/>
                <w:sz w:val="18"/>
                <w:szCs w:val="18"/>
              </w:rPr>
            </w:pPr>
          </w:p>
        </w:tc>
        <w:tc>
          <w:tcPr>
            <w:tcW w:w="3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9DA12">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5928DB06">
        <w:tblPrEx>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2B81D">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D858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其中：财政资金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E9BD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FBD5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32367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42E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5101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C675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910B6">
            <w:pPr>
              <w:rPr>
                <w:rFonts w:ascii="黑体" w:hAnsi="黑体" w:eastAsia="黑体" w:cs="黑体"/>
                <w:i/>
                <w:iCs/>
                <w:color w:val="000000"/>
                <w:sz w:val="18"/>
                <w:szCs w:val="18"/>
              </w:rPr>
            </w:pPr>
          </w:p>
        </w:tc>
      </w:tr>
      <w:tr w14:paraId="6BCBAF32">
        <w:tblPrEx>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5D11D">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57DE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财政专户管理资金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8A2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D1C8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A91CA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A2B9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B91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EF2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C7FF5">
            <w:pPr>
              <w:rPr>
                <w:rFonts w:ascii="黑体" w:hAnsi="黑体" w:eastAsia="黑体" w:cs="黑体"/>
                <w:i/>
                <w:iCs/>
                <w:color w:val="000000"/>
                <w:sz w:val="18"/>
                <w:szCs w:val="18"/>
              </w:rPr>
            </w:pPr>
          </w:p>
        </w:tc>
      </w:tr>
      <w:tr w14:paraId="1B75D665">
        <w:tblPrEx>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B620D">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0E7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单位资金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E6D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606F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456E5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BCB9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DA54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2A26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A3079">
            <w:pPr>
              <w:rPr>
                <w:rFonts w:ascii="黑体" w:hAnsi="黑体" w:eastAsia="黑体" w:cs="黑体"/>
                <w:i/>
                <w:iCs/>
                <w:color w:val="000000"/>
                <w:sz w:val="18"/>
                <w:szCs w:val="18"/>
              </w:rPr>
            </w:pPr>
          </w:p>
        </w:tc>
      </w:tr>
      <w:tr w14:paraId="3C8BD49E">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9284A">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2D67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其他资金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E3E8">
            <w:pPr>
              <w:jc w:val="center"/>
              <w:rPr>
                <w:rFonts w:ascii="微软雅黑" w:hAnsi="微软雅黑" w:eastAsia="微软雅黑" w:cs="微软雅黑"/>
                <w:i/>
                <w:iCs/>
                <w:color w:val="000000"/>
                <w:sz w:val="16"/>
                <w:szCs w:val="16"/>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0F67">
            <w:pPr>
              <w:jc w:val="center"/>
              <w:rPr>
                <w:rFonts w:ascii="微软雅黑" w:hAnsi="微软雅黑" w:eastAsia="微软雅黑" w:cs="微软雅黑"/>
                <w:i/>
                <w:iCs/>
                <w:color w:val="000000"/>
                <w:sz w:val="16"/>
                <w:szCs w:val="16"/>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569CFD">
            <w:pPr>
              <w:jc w:val="center"/>
              <w:rPr>
                <w:rFonts w:ascii="微软雅黑" w:hAnsi="微软雅黑" w:eastAsia="微软雅黑" w:cs="微软雅黑"/>
                <w:i/>
                <w:iCs/>
                <w:color w:val="000000"/>
                <w:sz w:val="16"/>
                <w:szCs w:val="16"/>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FAD3">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C523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DE5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47F9B">
            <w:pPr>
              <w:rPr>
                <w:rFonts w:ascii="黑体" w:hAnsi="黑体" w:eastAsia="黑体" w:cs="黑体"/>
                <w:i/>
                <w:iCs/>
                <w:color w:val="000000"/>
                <w:sz w:val="18"/>
                <w:szCs w:val="18"/>
              </w:rPr>
            </w:pPr>
          </w:p>
        </w:tc>
      </w:tr>
      <w:tr w14:paraId="18610D55">
        <w:tblPrEx>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68616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绩效指标（90分）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442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一级指标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F0F0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CAA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E77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71A0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9455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B6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0F57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FF3F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466B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未完成原因分析</w:t>
            </w:r>
          </w:p>
        </w:tc>
      </w:tr>
      <w:tr w14:paraId="39F0FF64">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4C4BD">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121BF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产出指标</w:t>
            </w:r>
          </w:p>
        </w:tc>
        <w:tc>
          <w:tcPr>
            <w:tcW w:w="1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68C79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8084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运用媒体刊发稿件</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C61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6A4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451D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5E911">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153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A492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E3AD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9C76">
            <w:pPr>
              <w:jc w:val="center"/>
              <w:rPr>
                <w:rFonts w:ascii="微软雅黑" w:hAnsi="微软雅黑" w:eastAsia="微软雅黑" w:cs="微软雅黑"/>
                <w:i/>
                <w:iCs/>
                <w:color w:val="000000"/>
                <w:sz w:val="16"/>
                <w:szCs w:val="16"/>
              </w:rPr>
            </w:pPr>
          </w:p>
        </w:tc>
      </w:tr>
      <w:tr w14:paraId="186AAFDA">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1C06C">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5BFE7">
            <w:pPr>
              <w:jc w:val="center"/>
              <w:rPr>
                <w:rFonts w:ascii="宋体" w:hAnsi="宋体" w:cs="宋体"/>
                <w:color w:val="000000"/>
                <w:sz w:val="18"/>
                <w:szCs w:val="18"/>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2FC2F">
            <w:pPr>
              <w:jc w:val="center"/>
              <w:rPr>
                <w:rFonts w:ascii="宋体" w:hAnsi="宋体" w:cs="宋体"/>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2F94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举办宣传活动</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B9B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110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F0F9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场次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6DFF">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51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3F84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2D63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099A">
            <w:pPr>
              <w:jc w:val="center"/>
              <w:rPr>
                <w:rFonts w:ascii="微软雅黑" w:hAnsi="微软雅黑" w:eastAsia="微软雅黑" w:cs="微软雅黑"/>
                <w:i/>
                <w:iCs/>
                <w:color w:val="000000"/>
                <w:sz w:val="16"/>
                <w:szCs w:val="16"/>
              </w:rPr>
            </w:pPr>
          </w:p>
        </w:tc>
      </w:tr>
      <w:tr w14:paraId="0C112D49">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FD795">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7890C">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A6F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4663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交通安全形势</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8DF6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2E92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A62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010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7017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85B9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FFDFE">
            <w:pPr>
              <w:jc w:val="center"/>
              <w:rPr>
                <w:rFonts w:ascii="微软雅黑" w:hAnsi="微软雅黑" w:eastAsia="微软雅黑" w:cs="微软雅黑"/>
                <w:i/>
                <w:iCs/>
                <w:color w:val="000000"/>
                <w:sz w:val="16"/>
                <w:szCs w:val="16"/>
              </w:rPr>
            </w:pPr>
          </w:p>
        </w:tc>
      </w:tr>
      <w:tr w14:paraId="59C74B35">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63636">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AAE75">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B7B2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时效指标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E75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完成时间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E4D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4EB4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3D4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5007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CF80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64ED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A7BB3">
            <w:pPr>
              <w:jc w:val="center"/>
              <w:rPr>
                <w:rFonts w:ascii="微软雅黑" w:hAnsi="微软雅黑" w:eastAsia="微软雅黑" w:cs="微软雅黑"/>
                <w:i/>
                <w:iCs/>
                <w:color w:val="000000"/>
                <w:sz w:val="16"/>
                <w:szCs w:val="16"/>
              </w:rPr>
            </w:pPr>
          </w:p>
        </w:tc>
      </w:tr>
      <w:tr w14:paraId="2152BFB6">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90ECA">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A0A6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效益指标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76AA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F234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提升交通参与者素质</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60BD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7C1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良</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2D61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000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E0CB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085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C0738">
            <w:pPr>
              <w:jc w:val="center"/>
              <w:rPr>
                <w:rFonts w:ascii="微软雅黑" w:hAnsi="微软雅黑" w:eastAsia="微软雅黑" w:cs="微软雅黑"/>
                <w:i/>
                <w:iCs/>
                <w:color w:val="000000"/>
                <w:sz w:val="16"/>
                <w:szCs w:val="16"/>
              </w:rPr>
            </w:pPr>
          </w:p>
        </w:tc>
      </w:tr>
      <w:tr w14:paraId="32841157">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49E02">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72F1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满意度指标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6D57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服务对象满意度指标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1016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交通参与者</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6F2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4B2F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44B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6F7B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93EA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8D51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46B95">
            <w:pPr>
              <w:jc w:val="center"/>
              <w:rPr>
                <w:rFonts w:ascii="微软雅黑" w:hAnsi="微软雅黑" w:eastAsia="微软雅黑" w:cs="微软雅黑"/>
                <w:i/>
                <w:iCs/>
                <w:color w:val="000000"/>
                <w:sz w:val="16"/>
                <w:szCs w:val="16"/>
              </w:rPr>
            </w:pPr>
          </w:p>
        </w:tc>
      </w:tr>
      <w:tr w14:paraId="65E97541">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35F1B">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6842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成本指标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B5D5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经济成本指标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5ACD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媒体宣传、印刷及展板等费用</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E9EF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5774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251F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7290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C080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8C44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E4D9">
            <w:pPr>
              <w:jc w:val="center"/>
              <w:rPr>
                <w:rFonts w:ascii="微软雅黑" w:hAnsi="微软雅黑" w:eastAsia="微软雅黑" w:cs="微软雅黑"/>
                <w:i/>
                <w:iCs/>
                <w:color w:val="000000"/>
                <w:sz w:val="16"/>
                <w:szCs w:val="16"/>
              </w:rPr>
            </w:pPr>
          </w:p>
        </w:tc>
      </w:tr>
      <w:tr w14:paraId="5C1DE61B">
        <w:tblPrEx>
          <w:tblCellMar>
            <w:top w:w="0" w:type="dxa"/>
            <w:left w:w="108" w:type="dxa"/>
            <w:bottom w:w="0" w:type="dxa"/>
            <w:right w:w="108" w:type="dxa"/>
          </w:tblCellMar>
        </w:tblPrEx>
        <w:trPr>
          <w:trHeight w:val="286" w:hRule="atLeast"/>
        </w:trPr>
        <w:tc>
          <w:tcPr>
            <w:tcW w:w="105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D35CE4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1935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875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EFC9D">
            <w:pPr>
              <w:rPr>
                <w:rFonts w:ascii="宋体" w:hAnsi="宋体" w:cs="宋体"/>
                <w:color w:val="000000"/>
                <w:sz w:val="18"/>
                <w:szCs w:val="18"/>
              </w:rPr>
            </w:pPr>
          </w:p>
        </w:tc>
      </w:tr>
      <w:tr w14:paraId="787F77A5">
        <w:tblPrEx>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9A07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评价结论</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24322F9">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该项目自评得分100分。2024年共联合开展“美丽乡村行巡回宣讲”“小手拉大手”“交通安全七进、六上”系列活动50余场次，持续提升交通参与者文明交通素养；联动媒体合成作战，警示曝光典型案例120余篇次、创作短视频200余个。达到“查处一起、教育一片、震慑一方”的良好教育警示效果。</w:t>
            </w:r>
          </w:p>
        </w:tc>
      </w:tr>
      <w:tr w14:paraId="051BFD56">
        <w:tblPrEx>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52F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存在问题</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5BFC2B5">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187BA6F4">
        <w:tblPrEx>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C96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改进措施</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9A0B07C">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486408B9">
        <w:tblPrEx>
          <w:tblCellMar>
            <w:top w:w="0" w:type="dxa"/>
            <w:left w:w="108" w:type="dxa"/>
            <w:bottom w:w="0" w:type="dxa"/>
            <w:right w:w="108" w:type="dxa"/>
          </w:tblCellMar>
        </w:tblPrEx>
        <w:trPr>
          <w:trHeight w:val="286" w:hRule="atLeast"/>
        </w:trPr>
        <w:tc>
          <w:tcPr>
            <w:tcW w:w="7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CEEF0F">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项目负责人：</w:t>
            </w:r>
          </w:p>
        </w:tc>
        <w:tc>
          <w:tcPr>
            <w:tcW w:w="76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4ABDF21">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财务负责人：</w:t>
            </w:r>
          </w:p>
        </w:tc>
      </w:tr>
      <w:tr w14:paraId="49E4B0C6">
        <w:tblPrEx>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14:paraId="0F450829">
            <w:pPr>
              <w:rPr>
                <w:rFonts w:ascii="宋体" w:hAnsi="宋体" w:cs="宋体"/>
                <w:color w:val="000000"/>
                <w:sz w:val="18"/>
                <w:szCs w:val="18"/>
              </w:rPr>
            </w:pPr>
          </w:p>
        </w:tc>
        <w:tc>
          <w:tcPr>
            <w:tcW w:w="2044" w:type="dxa"/>
            <w:tcBorders>
              <w:top w:val="nil"/>
              <w:left w:val="nil"/>
              <w:bottom w:val="nil"/>
              <w:right w:val="nil"/>
            </w:tcBorders>
            <w:shd w:val="clear" w:color="auto" w:fill="auto"/>
            <w:vAlign w:val="center"/>
          </w:tcPr>
          <w:p w14:paraId="6793C654">
            <w:pPr>
              <w:rPr>
                <w:rFonts w:ascii="宋体" w:hAnsi="宋体" w:cs="宋体"/>
                <w:color w:val="000000"/>
                <w:sz w:val="18"/>
                <w:szCs w:val="18"/>
              </w:rPr>
            </w:pPr>
          </w:p>
        </w:tc>
        <w:tc>
          <w:tcPr>
            <w:tcW w:w="1771" w:type="dxa"/>
            <w:tcBorders>
              <w:top w:val="nil"/>
              <w:left w:val="nil"/>
              <w:bottom w:val="nil"/>
              <w:right w:val="nil"/>
            </w:tcBorders>
            <w:shd w:val="clear" w:color="auto" w:fill="auto"/>
            <w:vAlign w:val="center"/>
          </w:tcPr>
          <w:p w14:paraId="3A87565B">
            <w:pPr>
              <w:rPr>
                <w:rFonts w:ascii="宋体" w:hAnsi="宋体" w:cs="宋体"/>
                <w:color w:val="000000"/>
                <w:sz w:val="18"/>
                <w:szCs w:val="18"/>
              </w:rPr>
            </w:pPr>
          </w:p>
        </w:tc>
        <w:tc>
          <w:tcPr>
            <w:tcW w:w="2257" w:type="dxa"/>
            <w:tcBorders>
              <w:top w:val="nil"/>
              <w:left w:val="nil"/>
              <w:bottom w:val="nil"/>
              <w:right w:val="nil"/>
            </w:tcBorders>
            <w:shd w:val="clear" w:color="auto" w:fill="auto"/>
            <w:vAlign w:val="center"/>
          </w:tcPr>
          <w:p w14:paraId="41E27F42">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785FC95A">
            <w:pPr>
              <w:rPr>
                <w:rFonts w:ascii="宋体" w:hAnsi="宋体" w:cs="宋体"/>
                <w:color w:val="000000"/>
                <w:sz w:val="18"/>
                <w:szCs w:val="18"/>
              </w:rPr>
            </w:pPr>
          </w:p>
        </w:tc>
        <w:tc>
          <w:tcPr>
            <w:tcW w:w="1672" w:type="dxa"/>
            <w:tcBorders>
              <w:top w:val="nil"/>
              <w:left w:val="nil"/>
              <w:bottom w:val="nil"/>
              <w:right w:val="nil"/>
            </w:tcBorders>
            <w:shd w:val="clear" w:color="auto" w:fill="auto"/>
            <w:vAlign w:val="center"/>
          </w:tcPr>
          <w:p w14:paraId="23C0F3AD">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6527ACE1">
            <w:pPr>
              <w:rPr>
                <w:rFonts w:ascii="宋体" w:hAnsi="宋体" w:cs="宋体"/>
                <w:color w:val="000000"/>
                <w:sz w:val="18"/>
                <w:szCs w:val="18"/>
              </w:rPr>
            </w:pPr>
          </w:p>
        </w:tc>
        <w:tc>
          <w:tcPr>
            <w:tcW w:w="1090" w:type="dxa"/>
            <w:tcBorders>
              <w:top w:val="nil"/>
              <w:left w:val="nil"/>
              <w:bottom w:val="nil"/>
              <w:right w:val="nil"/>
            </w:tcBorders>
            <w:shd w:val="clear" w:color="auto" w:fill="auto"/>
            <w:vAlign w:val="center"/>
          </w:tcPr>
          <w:p w14:paraId="00AEFA2D">
            <w:pPr>
              <w:rPr>
                <w:rFonts w:ascii="宋体" w:hAnsi="宋体" w:cs="宋体"/>
                <w:color w:val="000000"/>
                <w:sz w:val="18"/>
                <w:szCs w:val="18"/>
              </w:rPr>
            </w:pPr>
          </w:p>
        </w:tc>
        <w:tc>
          <w:tcPr>
            <w:tcW w:w="505" w:type="dxa"/>
            <w:tcBorders>
              <w:top w:val="nil"/>
              <w:left w:val="nil"/>
              <w:bottom w:val="nil"/>
              <w:right w:val="nil"/>
            </w:tcBorders>
            <w:shd w:val="clear" w:color="auto" w:fill="auto"/>
            <w:vAlign w:val="center"/>
          </w:tcPr>
          <w:p w14:paraId="44DC9103">
            <w:pPr>
              <w:rPr>
                <w:rFonts w:ascii="宋体" w:hAnsi="宋体" w:cs="宋体"/>
                <w:color w:val="000000"/>
                <w:sz w:val="18"/>
                <w:szCs w:val="18"/>
              </w:rPr>
            </w:pPr>
          </w:p>
        </w:tc>
        <w:tc>
          <w:tcPr>
            <w:tcW w:w="486" w:type="dxa"/>
            <w:tcBorders>
              <w:top w:val="nil"/>
              <w:left w:val="nil"/>
              <w:bottom w:val="nil"/>
              <w:right w:val="nil"/>
            </w:tcBorders>
            <w:shd w:val="clear" w:color="auto" w:fill="auto"/>
            <w:vAlign w:val="center"/>
          </w:tcPr>
          <w:p w14:paraId="1463931B">
            <w:pPr>
              <w:rPr>
                <w:rFonts w:ascii="宋体" w:hAnsi="宋体" w:cs="宋体"/>
                <w:color w:val="000000"/>
                <w:sz w:val="18"/>
                <w:szCs w:val="18"/>
              </w:rPr>
            </w:pPr>
          </w:p>
        </w:tc>
        <w:tc>
          <w:tcPr>
            <w:tcW w:w="3422" w:type="dxa"/>
            <w:tcBorders>
              <w:top w:val="nil"/>
              <w:left w:val="nil"/>
              <w:bottom w:val="nil"/>
              <w:right w:val="nil"/>
            </w:tcBorders>
            <w:shd w:val="clear" w:color="auto" w:fill="auto"/>
            <w:vAlign w:val="center"/>
          </w:tcPr>
          <w:p w14:paraId="481DF344">
            <w:pPr>
              <w:rPr>
                <w:rFonts w:ascii="宋体" w:hAnsi="宋体" w:cs="宋体"/>
                <w:color w:val="000000"/>
                <w:sz w:val="18"/>
                <w:szCs w:val="18"/>
              </w:rPr>
            </w:pPr>
          </w:p>
        </w:tc>
      </w:tr>
      <w:tr w14:paraId="165610BF">
        <w:tblPrEx>
          <w:tblCellMar>
            <w:top w:w="0" w:type="dxa"/>
            <w:left w:w="108" w:type="dxa"/>
            <w:bottom w:w="0" w:type="dxa"/>
            <w:right w:w="108" w:type="dxa"/>
          </w:tblCellMar>
        </w:tblPrEx>
        <w:trPr>
          <w:trHeight w:val="904" w:hRule="atLeast"/>
        </w:trPr>
        <w:tc>
          <w:tcPr>
            <w:tcW w:w="149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D9F2CB3">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14:paraId="45950513">
        <w:tblPrEx>
          <w:tblCellMar>
            <w:top w:w="0" w:type="dxa"/>
            <w:left w:w="108" w:type="dxa"/>
            <w:bottom w:w="0" w:type="dxa"/>
            <w:right w:w="108" w:type="dxa"/>
          </w:tblCellMar>
        </w:tblPrEx>
        <w:trPr>
          <w:trHeight w:val="286"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8A151">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项目名称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E511026">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51080022T000004917090-车辆号牌、违法处置、驾驶证、登记证成本</w:t>
            </w:r>
          </w:p>
        </w:tc>
      </w:tr>
      <w:tr w14:paraId="4DFF959D">
        <w:tblPrEx>
          <w:tblCellMar>
            <w:top w:w="0" w:type="dxa"/>
            <w:left w:w="108" w:type="dxa"/>
            <w:bottom w:w="0" w:type="dxa"/>
            <w:right w:w="108" w:type="dxa"/>
          </w:tblCellMar>
        </w:tblPrEx>
        <w:trPr>
          <w:trHeight w:val="512"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C56A6">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主管部门</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6DC836">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广元市公安局交通警察支队部门</w:t>
            </w:r>
          </w:p>
        </w:tc>
        <w:tc>
          <w:tcPr>
            <w:tcW w:w="1090" w:type="dxa"/>
            <w:tcBorders>
              <w:top w:val="nil"/>
              <w:left w:val="nil"/>
              <w:bottom w:val="nil"/>
              <w:right w:val="nil"/>
            </w:tcBorders>
            <w:shd w:val="clear" w:color="auto" w:fill="auto"/>
            <w:vAlign w:val="center"/>
          </w:tcPr>
          <w:p w14:paraId="469DF530">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44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17CB4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w:t>
            </w:r>
          </w:p>
        </w:tc>
      </w:tr>
      <w:tr w14:paraId="43E74876">
        <w:tblPrEx>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A7D546">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项目基本情况</w:t>
            </w: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97426F">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1.项目年度目标完成情况</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441C1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项目年度目标</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EA9D9E">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14:paraId="59ED93CC">
        <w:tblPrEx>
          <w:tblCellMar>
            <w:top w:w="0" w:type="dxa"/>
            <w:left w:w="108" w:type="dxa"/>
            <w:bottom w:w="0" w:type="dxa"/>
            <w:right w:w="108" w:type="dxa"/>
          </w:tblCellMar>
        </w:tblPrEx>
        <w:trPr>
          <w:trHeight w:val="186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AF0D9">
            <w:pP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39CAB">
            <w:pPr>
              <w:rPr>
                <w:rFonts w:ascii="宋体" w:hAnsi="宋体" w:cs="宋体"/>
                <w:color w:val="000000"/>
                <w:sz w:val="18"/>
                <w:szCs w:val="18"/>
              </w:rPr>
            </w:pP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D9E8B3">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 xml:space="preserve"> 1、完成全市车辆上户、年检、报废、驾驶员考试和年审。2、维护道路交通秩序、驾驶员和车辆的违法查处。</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4892C9">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全市共查处交通违法85万余起，查处酒驾醉驾、无证驾驶、严重超员超载等严重交通违法4万余起，精准布控查缉重点车辆2520余辆；办理刑事案件689件，行政拘留2048人，吊销机动车驾驶证1077个。车管业务办理约5.58万辆，重点驾驶人审验率95.48%。</w:t>
            </w:r>
          </w:p>
        </w:tc>
      </w:tr>
      <w:tr w14:paraId="782E8183">
        <w:tblPrEx>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183C1">
            <w:pP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F5D5A">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2.项目实施内容及过程概述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1084D79">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该项目资金用于秩序管理以及车驾管业务经费支出，由支队统筹使用，严格执行经费“使用审批”、“预算执行”、“管理监督”三个环节，硬化预算约束。</w:t>
            </w:r>
          </w:p>
        </w:tc>
      </w:tr>
      <w:tr w14:paraId="33F42D53">
        <w:tblPrEx>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341D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预算执行情况（10分）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D1F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年度预算数（万元）</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9B13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6CF2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AEBB9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279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164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5E8C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AA2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原因</w:t>
            </w:r>
          </w:p>
        </w:tc>
      </w:tr>
      <w:tr w14:paraId="2BF5832B">
        <w:tblPrEx>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DADAE">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3E5B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总额</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5C89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574.91</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4B0C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574.91</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63942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574.91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6C1F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9DB8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6AC0F">
            <w:pPr>
              <w:jc w:val="center"/>
              <w:rPr>
                <w:rFonts w:ascii="宋体" w:hAnsi="宋体" w:cs="宋体"/>
                <w:color w:val="000000"/>
                <w:sz w:val="18"/>
                <w:szCs w:val="18"/>
              </w:rPr>
            </w:pPr>
          </w:p>
        </w:tc>
        <w:tc>
          <w:tcPr>
            <w:tcW w:w="3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DD477">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07CE7804">
        <w:tblPrEx>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D0808">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E6BB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其中：财政资金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4EA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574.91</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6D60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574.91</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089DA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574.91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B66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B2EC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7420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32AF3">
            <w:pPr>
              <w:rPr>
                <w:rFonts w:ascii="黑体" w:hAnsi="黑体" w:eastAsia="黑体" w:cs="黑体"/>
                <w:i/>
                <w:iCs/>
                <w:color w:val="000000"/>
                <w:sz w:val="18"/>
                <w:szCs w:val="18"/>
              </w:rPr>
            </w:pPr>
          </w:p>
        </w:tc>
      </w:tr>
      <w:tr w14:paraId="2BCBDFAF">
        <w:tblPrEx>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40B06">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C210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财政专户管理资金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E755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452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04D85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0DBE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3361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9FA6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FEEFE">
            <w:pPr>
              <w:rPr>
                <w:rFonts w:ascii="黑体" w:hAnsi="黑体" w:eastAsia="黑体" w:cs="黑体"/>
                <w:i/>
                <w:iCs/>
                <w:color w:val="000000"/>
                <w:sz w:val="18"/>
                <w:szCs w:val="18"/>
              </w:rPr>
            </w:pPr>
          </w:p>
        </w:tc>
      </w:tr>
      <w:tr w14:paraId="4DC4C90C">
        <w:tblPrEx>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289E7">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D2A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单位资金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3D9A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B782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4C493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0B82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93F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54F7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FCA6D">
            <w:pPr>
              <w:rPr>
                <w:rFonts w:ascii="黑体" w:hAnsi="黑体" w:eastAsia="黑体" w:cs="黑体"/>
                <w:i/>
                <w:iCs/>
                <w:color w:val="000000"/>
                <w:sz w:val="18"/>
                <w:szCs w:val="18"/>
              </w:rPr>
            </w:pPr>
          </w:p>
        </w:tc>
      </w:tr>
      <w:tr w14:paraId="05B1B8E1">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A19B8">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E066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其他资金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1105">
            <w:pPr>
              <w:jc w:val="center"/>
              <w:rPr>
                <w:rFonts w:ascii="微软雅黑" w:hAnsi="微软雅黑" w:eastAsia="微软雅黑" w:cs="微软雅黑"/>
                <w:i/>
                <w:iCs/>
                <w:color w:val="000000"/>
                <w:sz w:val="16"/>
                <w:szCs w:val="16"/>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1E9C">
            <w:pPr>
              <w:jc w:val="center"/>
              <w:rPr>
                <w:rFonts w:ascii="微软雅黑" w:hAnsi="微软雅黑" w:eastAsia="微软雅黑" w:cs="微软雅黑"/>
                <w:i/>
                <w:iCs/>
                <w:color w:val="000000"/>
                <w:sz w:val="16"/>
                <w:szCs w:val="16"/>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3ED1CC">
            <w:pPr>
              <w:jc w:val="center"/>
              <w:rPr>
                <w:rFonts w:ascii="微软雅黑" w:hAnsi="微软雅黑" w:eastAsia="微软雅黑" w:cs="微软雅黑"/>
                <w:i/>
                <w:iCs/>
                <w:color w:val="000000"/>
                <w:sz w:val="16"/>
                <w:szCs w:val="16"/>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5802B">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D199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CD5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970FF">
            <w:pPr>
              <w:rPr>
                <w:rFonts w:ascii="黑体" w:hAnsi="黑体" w:eastAsia="黑体" w:cs="黑体"/>
                <w:i/>
                <w:iCs/>
                <w:color w:val="000000"/>
                <w:sz w:val="18"/>
                <w:szCs w:val="18"/>
              </w:rPr>
            </w:pPr>
          </w:p>
        </w:tc>
      </w:tr>
      <w:tr w14:paraId="7017E26D">
        <w:tblPrEx>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296B9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绩效指标（90分）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2892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一级指标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235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90FB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4A65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E708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D4BB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F58E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E2A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625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7A5E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未完成原因分析</w:t>
            </w:r>
          </w:p>
        </w:tc>
      </w:tr>
      <w:tr w14:paraId="757729DB">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41C76">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3E10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产出指标</w:t>
            </w:r>
          </w:p>
        </w:tc>
        <w:tc>
          <w:tcPr>
            <w:tcW w:w="1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0CECF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4BBC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查处交通违法量</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D6DF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226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754B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7606F">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85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BF03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E187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79B24">
            <w:pPr>
              <w:jc w:val="center"/>
              <w:rPr>
                <w:rFonts w:ascii="微软雅黑" w:hAnsi="微软雅黑" w:eastAsia="微软雅黑" w:cs="微软雅黑"/>
                <w:i/>
                <w:iCs/>
                <w:color w:val="000000"/>
                <w:sz w:val="16"/>
                <w:szCs w:val="16"/>
              </w:rPr>
            </w:pPr>
          </w:p>
        </w:tc>
      </w:tr>
      <w:tr w14:paraId="789D2E5B">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2636C">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EDC61">
            <w:pPr>
              <w:jc w:val="center"/>
              <w:rPr>
                <w:rFonts w:ascii="宋体" w:hAnsi="宋体" w:cs="宋体"/>
                <w:color w:val="000000"/>
                <w:sz w:val="18"/>
                <w:szCs w:val="18"/>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318D3">
            <w:pPr>
              <w:jc w:val="center"/>
              <w:rPr>
                <w:rFonts w:ascii="宋体" w:hAnsi="宋体" w:cs="宋体"/>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E76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车驾管业务办理量</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2265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CF8C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8E54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A4623">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5.58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F4AA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1D28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1FE4E">
            <w:pPr>
              <w:jc w:val="center"/>
              <w:rPr>
                <w:rFonts w:ascii="微软雅黑" w:hAnsi="微软雅黑" w:eastAsia="微软雅黑" w:cs="微软雅黑"/>
                <w:i/>
                <w:iCs/>
                <w:color w:val="000000"/>
                <w:sz w:val="16"/>
                <w:szCs w:val="16"/>
              </w:rPr>
            </w:pPr>
          </w:p>
        </w:tc>
      </w:tr>
      <w:tr w14:paraId="2F78C0C3">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DD5FE">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B988E">
            <w:pPr>
              <w:jc w:val="center"/>
              <w:rPr>
                <w:rFonts w:ascii="宋体" w:hAnsi="宋体" w:cs="宋体"/>
                <w:color w:val="000000"/>
                <w:sz w:val="18"/>
                <w:szCs w:val="18"/>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3277E">
            <w:pPr>
              <w:jc w:val="center"/>
              <w:rPr>
                <w:rFonts w:ascii="宋体" w:hAnsi="宋体" w:cs="宋体"/>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027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机动车检验量</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2CC8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E71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13.5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54AD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2CF65">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15.92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3D57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8BFB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C61ED">
            <w:pPr>
              <w:jc w:val="center"/>
              <w:rPr>
                <w:rFonts w:ascii="微软雅黑" w:hAnsi="微软雅黑" w:eastAsia="微软雅黑" w:cs="微软雅黑"/>
                <w:i/>
                <w:iCs/>
                <w:color w:val="000000"/>
                <w:sz w:val="16"/>
                <w:szCs w:val="16"/>
              </w:rPr>
            </w:pPr>
          </w:p>
        </w:tc>
      </w:tr>
      <w:tr w14:paraId="2F1BFB44">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3DD47">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8F504">
            <w:pPr>
              <w:jc w:val="center"/>
              <w:rPr>
                <w:rFonts w:ascii="宋体" w:hAnsi="宋体" w:cs="宋体"/>
                <w:color w:val="000000"/>
                <w:sz w:val="18"/>
                <w:szCs w:val="18"/>
              </w:rPr>
            </w:pPr>
          </w:p>
        </w:tc>
        <w:tc>
          <w:tcPr>
            <w:tcW w:w="1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AAD3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8DE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大型营运车辆报废率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ABCB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7367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DE8A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1BD6">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99.82%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FAEF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36A2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67C08">
            <w:pPr>
              <w:jc w:val="center"/>
              <w:rPr>
                <w:rFonts w:ascii="微软雅黑" w:hAnsi="微软雅黑" w:eastAsia="微软雅黑" w:cs="微软雅黑"/>
                <w:i/>
                <w:iCs/>
                <w:color w:val="000000"/>
                <w:sz w:val="16"/>
                <w:szCs w:val="16"/>
              </w:rPr>
            </w:pPr>
          </w:p>
        </w:tc>
      </w:tr>
      <w:tr w14:paraId="5C8C81BF">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584E1">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88DD9">
            <w:pPr>
              <w:jc w:val="center"/>
              <w:rPr>
                <w:rFonts w:ascii="宋体" w:hAnsi="宋体" w:cs="宋体"/>
                <w:color w:val="000000"/>
                <w:sz w:val="18"/>
                <w:szCs w:val="18"/>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AFCDB">
            <w:pPr>
              <w:jc w:val="center"/>
              <w:rPr>
                <w:rFonts w:ascii="宋体" w:hAnsi="宋体" w:cs="宋体"/>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BFFD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汽车上牌率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DC6B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1DD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9E6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5B78B">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C5C2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74EF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68D11">
            <w:pPr>
              <w:jc w:val="center"/>
              <w:rPr>
                <w:rFonts w:ascii="微软雅黑" w:hAnsi="微软雅黑" w:eastAsia="微软雅黑" w:cs="微软雅黑"/>
                <w:i/>
                <w:iCs/>
                <w:color w:val="000000"/>
                <w:sz w:val="16"/>
                <w:szCs w:val="16"/>
              </w:rPr>
            </w:pPr>
          </w:p>
        </w:tc>
      </w:tr>
      <w:tr w14:paraId="52F1A694">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C6B01">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033F8">
            <w:pPr>
              <w:jc w:val="center"/>
              <w:rPr>
                <w:rFonts w:ascii="宋体" w:hAnsi="宋体" w:cs="宋体"/>
                <w:color w:val="000000"/>
                <w:sz w:val="18"/>
                <w:szCs w:val="18"/>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6BACB">
            <w:pPr>
              <w:jc w:val="center"/>
              <w:rPr>
                <w:rFonts w:ascii="宋体" w:hAnsi="宋体" w:cs="宋体"/>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F3A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大中型客货车平均检验率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EB10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6C4C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1F1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2EA34">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96.94%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825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FFEE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DC8DE">
            <w:pPr>
              <w:jc w:val="center"/>
              <w:rPr>
                <w:rFonts w:ascii="微软雅黑" w:hAnsi="微软雅黑" w:eastAsia="微软雅黑" w:cs="微软雅黑"/>
                <w:i/>
                <w:iCs/>
                <w:color w:val="000000"/>
                <w:sz w:val="16"/>
                <w:szCs w:val="16"/>
              </w:rPr>
            </w:pPr>
          </w:p>
        </w:tc>
      </w:tr>
      <w:tr w14:paraId="2AADD5DE">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77092">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06924">
            <w:pPr>
              <w:jc w:val="center"/>
              <w:rPr>
                <w:rFonts w:ascii="宋体" w:hAnsi="宋体" w:cs="宋体"/>
                <w:color w:val="000000"/>
                <w:sz w:val="18"/>
                <w:szCs w:val="18"/>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347E7">
            <w:pPr>
              <w:jc w:val="center"/>
              <w:rPr>
                <w:rFonts w:ascii="宋体" w:hAnsi="宋体" w:cs="宋体"/>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0776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重点驾驶人审验率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7D6D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14A2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7E98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4056">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95.48%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3F4B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1BD0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9005A">
            <w:pPr>
              <w:jc w:val="center"/>
              <w:rPr>
                <w:rFonts w:ascii="微软雅黑" w:hAnsi="微软雅黑" w:eastAsia="微软雅黑" w:cs="微软雅黑"/>
                <w:i/>
                <w:iCs/>
                <w:color w:val="000000"/>
                <w:sz w:val="16"/>
                <w:szCs w:val="16"/>
              </w:rPr>
            </w:pPr>
          </w:p>
        </w:tc>
      </w:tr>
      <w:tr w14:paraId="77F9BACF">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52692">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B5793">
            <w:pPr>
              <w:jc w:val="center"/>
              <w:rPr>
                <w:rFonts w:ascii="宋体" w:hAnsi="宋体" w:cs="宋体"/>
                <w:color w:val="000000"/>
                <w:sz w:val="18"/>
                <w:szCs w:val="18"/>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0246D">
            <w:pPr>
              <w:jc w:val="center"/>
              <w:rPr>
                <w:rFonts w:ascii="宋体" w:hAnsi="宋体" w:cs="宋体"/>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DC9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驾考改革号牌公开预约率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4C2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EB15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65D5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57136">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FF2E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24E2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CE79D">
            <w:pPr>
              <w:jc w:val="center"/>
              <w:rPr>
                <w:rFonts w:ascii="微软雅黑" w:hAnsi="微软雅黑" w:eastAsia="微软雅黑" w:cs="微软雅黑"/>
                <w:i/>
                <w:iCs/>
                <w:color w:val="000000"/>
                <w:sz w:val="16"/>
                <w:szCs w:val="16"/>
              </w:rPr>
            </w:pPr>
          </w:p>
        </w:tc>
      </w:tr>
      <w:tr w14:paraId="1B74ECD2">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A0C2D">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1F94E">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94B2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时效指标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414B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完成时间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A791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419F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3EE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A3403">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BF80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797E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5118C">
            <w:pPr>
              <w:jc w:val="center"/>
              <w:rPr>
                <w:rFonts w:ascii="微软雅黑" w:hAnsi="微软雅黑" w:eastAsia="微软雅黑" w:cs="微软雅黑"/>
                <w:i/>
                <w:iCs/>
                <w:color w:val="000000"/>
                <w:sz w:val="16"/>
                <w:szCs w:val="16"/>
              </w:rPr>
            </w:pPr>
          </w:p>
        </w:tc>
      </w:tr>
      <w:tr w14:paraId="59B96060">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2A696">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F402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效益指标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D286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0AE0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交通违法行为常态打击</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A56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28EB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E992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FA9A">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2303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87A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73EEC">
            <w:pPr>
              <w:jc w:val="center"/>
              <w:rPr>
                <w:rFonts w:ascii="微软雅黑" w:hAnsi="微软雅黑" w:eastAsia="微软雅黑" w:cs="微软雅黑"/>
                <w:i/>
                <w:iCs/>
                <w:color w:val="000000"/>
                <w:sz w:val="16"/>
                <w:szCs w:val="16"/>
              </w:rPr>
            </w:pPr>
          </w:p>
        </w:tc>
      </w:tr>
      <w:tr w14:paraId="00CD4CC5">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11BB9">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26F1F">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1AA7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可持续影响指标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0E53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净化道路交通环境</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1E54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1937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8B12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7E801">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5565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5A2B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54670">
            <w:pPr>
              <w:jc w:val="center"/>
              <w:rPr>
                <w:rFonts w:ascii="微软雅黑" w:hAnsi="微软雅黑" w:eastAsia="微软雅黑" w:cs="微软雅黑"/>
                <w:i/>
                <w:iCs/>
                <w:color w:val="000000"/>
                <w:sz w:val="16"/>
                <w:szCs w:val="16"/>
              </w:rPr>
            </w:pPr>
          </w:p>
        </w:tc>
      </w:tr>
      <w:tr w14:paraId="2143A182">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112CC">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3CF0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满意度指标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0A21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服务对象满意度指标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A49D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车管业务办理者</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369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B76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4B31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94240">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0C9F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693E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67376">
            <w:pPr>
              <w:jc w:val="center"/>
              <w:rPr>
                <w:rFonts w:ascii="微软雅黑" w:hAnsi="微软雅黑" w:eastAsia="微软雅黑" w:cs="微软雅黑"/>
                <w:i/>
                <w:iCs/>
                <w:color w:val="000000"/>
                <w:sz w:val="16"/>
                <w:szCs w:val="16"/>
              </w:rPr>
            </w:pPr>
          </w:p>
        </w:tc>
      </w:tr>
      <w:tr w14:paraId="06254C52">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F6AC3">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B2AA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成本指标</w:t>
            </w:r>
          </w:p>
        </w:tc>
        <w:tc>
          <w:tcPr>
            <w:tcW w:w="1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D0816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经济成本指标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F8E2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交通秩序管理成本</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C2D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D02D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164.91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54A0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6C00">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164.91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21B4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D874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3DD71">
            <w:pPr>
              <w:jc w:val="center"/>
              <w:rPr>
                <w:rFonts w:ascii="微软雅黑" w:hAnsi="微软雅黑" w:eastAsia="微软雅黑" w:cs="微软雅黑"/>
                <w:i/>
                <w:iCs/>
                <w:color w:val="000000"/>
                <w:sz w:val="16"/>
                <w:szCs w:val="16"/>
              </w:rPr>
            </w:pPr>
          </w:p>
        </w:tc>
      </w:tr>
      <w:tr w14:paraId="5C53132C">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D13AF">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07324">
            <w:pPr>
              <w:jc w:val="center"/>
              <w:rPr>
                <w:rFonts w:ascii="宋体" w:hAnsi="宋体" w:cs="宋体"/>
                <w:color w:val="000000"/>
                <w:sz w:val="18"/>
                <w:szCs w:val="18"/>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18C1E">
            <w:pPr>
              <w:jc w:val="center"/>
              <w:rPr>
                <w:rFonts w:ascii="宋体" w:hAnsi="宋体" w:cs="宋体"/>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31E1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车管成本</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5A9E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6EFD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410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DBD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38622">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410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CDC0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007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9BE7E">
            <w:pPr>
              <w:jc w:val="center"/>
              <w:rPr>
                <w:rFonts w:ascii="微软雅黑" w:hAnsi="微软雅黑" w:eastAsia="微软雅黑" w:cs="微软雅黑"/>
                <w:i/>
                <w:iCs/>
                <w:color w:val="000000"/>
                <w:sz w:val="16"/>
                <w:szCs w:val="16"/>
              </w:rPr>
            </w:pPr>
          </w:p>
        </w:tc>
      </w:tr>
      <w:tr w14:paraId="0A9357A6">
        <w:tblPrEx>
          <w:tblCellMar>
            <w:top w:w="0" w:type="dxa"/>
            <w:left w:w="108" w:type="dxa"/>
            <w:bottom w:w="0" w:type="dxa"/>
            <w:right w:w="108" w:type="dxa"/>
          </w:tblCellMar>
        </w:tblPrEx>
        <w:trPr>
          <w:trHeight w:val="286" w:hRule="atLeast"/>
        </w:trPr>
        <w:tc>
          <w:tcPr>
            <w:tcW w:w="105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D7ADF2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D87F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A43B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159C">
            <w:pPr>
              <w:rPr>
                <w:rFonts w:ascii="宋体" w:hAnsi="宋体" w:cs="宋体"/>
                <w:color w:val="000000"/>
                <w:sz w:val="18"/>
                <w:szCs w:val="18"/>
              </w:rPr>
            </w:pPr>
          </w:p>
        </w:tc>
      </w:tr>
      <w:tr w14:paraId="0589164E">
        <w:tblPrEx>
          <w:tblCellMar>
            <w:top w:w="0" w:type="dxa"/>
            <w:left w:w="108" w:type="dxa"/>
            <w:bottom w:w="0" w:type="dxa"/>
            <w:right w:w="108" w:type="dxa"/>
          </w:tblCellMar>
        </w:tblPrEx>
        <w:trPr>
          <w:trHeight w:val="980"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F119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评价结论</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05E8D13">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该项目自评得分100分。2024年全市共查处交通违法85万余起，查处酒驾醉驾、无证驾驶、严重超员超载等严重交通违法4万余起，精准布控查缉重点车辆2520余辆；办理刑事案件689件，行政拘留2048人，吊销机动车驾驶证1077个。车管业务办理约5.58万辆，重点驾驶人审验率95.48%。</w:t>
            </w:r>
          </w:p>
        </w:tc>
      </w:tr>
      <w:tr w14:paraId="05C62BAB">
        <w:tblPrEx>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5E81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存在问题</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0239C24">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67A164D2">
        <w:tblPrEx>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498C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改进措施</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30E7434">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1F640727">
        <w:tblPrEx>
          <w:tblCellMar>
            <w:top w:w="0" w:type="dxa"/>
            <w:left w:w="108" w:type="dxa"/>
            <w:bottom w:w="0" w:type="dxa"/>
            <w:right w:w="108" w:type="dxa"/>
          </w:tblCellMar>
        </w:tblPrEx>
        <w:trPr>
          <w:trHeight w:val="286" w:hRule="atLeast"/>
        </w:trPr>
        <w:tc>
          <w:tcPr>
            <w:tcW w:w="7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2A1A6C">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项目负责人：</w:t>
            </w:r>
          </w:p>
        </w:tc>
        <w:tc>
          <w:tcPr>
            <w:tcW w:w="76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D48E203">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财务负责人：</w:t>
            </w:r>
          </w:p>
        </w:tc>
      </w:tr>
      <w:tr w14:paraId="57DA8D86">
        <w:tblPrEx>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14:paraId="60909A98">
            <w:pPr>
              <w:rPr>
                <w:rFonts w:ascii="宋体" w:hAnsi="宋体" w:cs="宋体"/>
                <w:color w:val="000000"/>
                <w:sz w:val="18"/>
                <w:szCs w:val="18"/>
              </w:rPr>
            </w:pPr>
          </w:p>
        </w:tc>
        <w:tc>
          <w:tcPr>
            <w:tcW w:w="2044" w:type="dxa"/>
            <w:tcBorders>
              <w:top w:val="nil"/>
              <w:left w:val="nil"/>
              <w:bottom w:val="nil"/>
              <w:right w:val="nil"/>
            </w:tcBorders>
            <w:shd w:val="clear" w:color="auto" w:fill="auto"/>
            <w:vAlign w:val="center"/>
          </w:tcPr>
          <w:p w14:paraId="795F4064">
            <w:pPr>
              <w:rPr>
                <w:rFonts w:ascii="宋体" w:hAnsi="宋体" w:cs="宋体"/>
                <w:color w:val="000000"/>
                <w:sz w:val="18"/>
                <w:szCs w:val="18"/>
              </w:rPr>
            </w:pPr>
          </w:p>
        </w:tc>
        <w:tc>
          <w:tcPr>
            <w:tcW w:w="1771" w:type="dxa"/>
            <w:tcBorders>
              <w:top w:val="nil"/>
              <w:left w:val="nil"/>
              <w:bottom w:val="nil"/>
              <w:right w:val="nil"/>
            </w:tcBorders>
            <w:shd w:val="clear" w:color="auto" w:fill="auto"/>
            <w:vAlign w:val="center"/>
          </w:tcPr>
          <w:p w14:paraId="5F3316A2">
            <w:pPr>
              <w:rPr>
                <w:rFonts w:ascii="宋体" w:hAnsi="宋体" w:cs="宋体"/>
                <w:color w:val="000000"/>
                <w:sz w:val="18"/>
                <w:szCs w:val="18"/>
              </w:rPr>
            </w:pPr>
          </w:p>
        </w:tc>
        <w:tc>
          <w:tcPr>
            <w:tcW w:w="2257" w:type="dxa"/>
            <w:tcBorders>
              <w:top w:val="nil"/>
              <w:left w:val="nil"/>
              <w:bottom w:val="nil"/>
              <w:right w:val="nil"/>
            </w:tcBorders>
            <w:shd w:val="clear" w:color="auto" w:fill="auto"/>
            <w:vAlign w:val="center"/>
          </w:tcPr>
          <w:p w14:paraId="27ACE83A">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21677024">
            <w:pPr>
              <w:rPr>
                <w:rFonts w:ascii="宋体" w:hAnsi="宋体" w:cs="宋体"/>
                <w:color w:val="000000"/>
                <w:sz w:val="18"/>
                <w:szCs w:val="18"/>
              </w:rPr>
            </w:pPr>
          </w:p>
        </w:tc>
        <w:tc>
          <w:tcPr>
            <w:tcW w:w="1672" w:type="dxa"/>
            <w:tcBorders>
              <w:top w:val="nil"/>
              <w:left w:val="nil"/>
              <w:bottom w:val="nil"/>
              <w:right w:val="nil"/>
            </w:tcBorders>
            <w:shd w:val="clear" w:color="auto" w:fill="auto"/>
            <w:vAlign w:val="center"/>
          </w:tcPr>
          <w:p w14:paraId="4D0197BB">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01A88F63">
            <w:pPr>
              <w:rPr>
                <w:rFonts w:ascii="宋体" w:hAnsi="宋体" w:cs="宋体"/>
                <w:color w:val="000000"/>
                <w:sz w:val="18"/>
                <w:szCs w:val="18"/>
              </w:rPr>
            </w:pPr>
          </w:p>
        </w:tc>
        <w:tc>
          <w:tcPr>
            <w:tcW w:w="1090" w:type="dxa"/>
            <w:tcBorders>
              <w:top w:val="nil"/>
              <w:left w:val="nil"/>
              <w:bottom w:val="nil"/>
              <w:right w:val="nil"/>
            </w:tcBorders>
            <w:shd w:val="clear" w:color="auto" w:fill="auto"/>
            <w:vAlign w:val="center"/>
          </w:tcPr>
          <w:p w14:paraId="2886E13E">
            <w:pPr>
              <w:rPr>
                <w:rFonts w:ascii="宋体" w:hAnsi="宋体" w:cs="宋体"/>
                <w:color w:val="000000"/>
                <w:sz w:val="18"/>
                <w:szCs w:val="18"/>
              </w:rPr>
            </w:pPr>
          </w:p>
        </w:tc>
        <w:tc>
          <w:tcPr>
            <w:tcW w:w="505" w:type="dxa"/>
            <w:tcBorders>
              <w:top w:val="nil"/>
              <w:left w:val="nil"/>
              <w:bottom w:val="nil"/>
              <w:right w:val="nil"/>
            </w:tcBorders>
            <w:shd w:val="clear" w:color="auto" w:fill="auto"/>
            <w:vAlign w:val="center"/>
          </w:tcPr>
          <w:p w14:paraId="50127827">
            <w:pPr>
              <w:rPr>
                <w:rFonts w:ascii="宋体" w:hAnsi="宋体" w:cs="宋体"/>
                <w:color w:val="000000"/>
                <w:sz w:val="18"/>
                <w:szCs w:val="18"/>
              </w:rPr>
            </w:pPr>
          </w:p>
        </w:tc>
        <w:tc>
          <w:tcPr>
            <w:tcW w:w="486" w:type="dxa"/>
            <w:tcBorders>
              <w:top w:val="nil"/>
              <w:left w:val="nil"/>
              <w:bottom w:val="nil"/>
              <w:right w:val="nil"/>
            </w:tcBorders>
            <w:shd w:val="clear" w:color="auto" w:fill="auto"/>
            <w:vAlign w:val="center"/>
          </w:tcPr>
          <w:p w14:paraId="623D83E8">
            <w:pPr>
              <w:rPr>
                <w:rFonts w:ascii="宋体" w:hAnsi="宋体" w:cs="宋体"/>
                <w:color w:val="000000"/>
                <w:sz w:val="18"/>
                <w:szCs w:val="18"/>
              </w:rPr>
            </w:pPr>
          </w:p>
        </w:tc>
        <w:tc>
          <w:tcPr>
            <w:tcW w:w="3422" w:type="dxa"/>
            <w:tcBorders>
              <w:top w:val="nil"/>
              <w:left w:val="nil"/>
              <w:bottom w:val="nil"/>
              <w:right w:val="nil"/>
            </w:tcBorders>
            <w:shd w:val="clear" w:color="auto" w:fill="auto"/>
            <w:vAlign w:val="center"/>
          </w:tcPr>
          <w:p w14:paraId="05E42660">
            <w:pPr>
              <w:rPr>
                <w:rFonts w:ascii="宋体" w:hAnsi="宋体" w:cs="宋体"/>
                <w:color w:val="000000"/>
                <w:sz w:val="18"/>
                <w:szCs w:val="18"/>
              </w:rPr>
            </w:pPr>
          </w:p>
        </w:tc>
      </w:tr>
      <w:tr w14:paraId="38053D4E">
        <w:tblPrEx>
          <w:tblCellMar>
            <w:top w:w="0" w:type="dxa"/>
            <w:left w:w="108" w:type="dxa"/>
            <w:bottom w:w="0" w:type="dxa"/>
            <w:right w:w="108" w:type="dxa"/>
          </w:tblCellMar>
        </w:tblPrEx>
        <w:trPr>
          <w:trHeight w:val="904" w:hRule="atLeast"/>
        </w:trPr>
        <w:tc>
          <w:tcPr>
            <w:tcW w:w="149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04D4927">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14:paraId="1D4DA7F3">
        <w:tblPrEx>
          <w:tblCellMar>
            <w:top w:w="0" w:type="dxa"/>
            <w:left w:w="108" w:type="dxa"/>
            <w:bottom w:w="0" w:type="dxa"/>
            <w:right w:w="108" w:type="dxa"/>
          </w:tblCellMar>
        </w:tblPrEx>
        <w:trPr>
          <w:trHeight w:val="286"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DBB9E">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项目名称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FA14D9B">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51080022T000004933718-乡村振兴工作经费</w:t>
            </w:r>
          </w:p>
        </w:tc>
      </w:tr>
      <w:tr w14:paraId="034C2053">
        <w:tblPrEx>
          <w:tblCellMar>
            <w:top w:w="0" w:type="dxa"/>
            <w:left w:w="108" w:type="dxa"/>
            <w:bottom w:w="0" w:type="dxa"/>
            <w:right w:w="108" w:type="dxa"/>
          </w:tblCellMar>
        </w:tblPrEx>
        <w:trPr>
          <w:trHeight w:val="512" w:hRule="atLeast"/>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4D81C4">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主管部门</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4619F0">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广元市公安局交通警察支队部门</w:t>
            </w:r>
          </w:p>
        </w:tc>
        <w:tc>
          <w:tcPr>
            <w:tcW w:w="1090" w:type="dxa"/>
            <w:tcBorders>
              <w:top w:val="nil"/>
              <w:left w:val="nil"/>
              <w:bottom w:val="nil"/>
              <w:right w:val="nil"/>
            </w:tcBorders>
            <w:shd w:val="clear" w:color="auto" w:fill="auto"/>
            <w:vAlign w:val="center"/>
          </w:tcPr>
          <w:p w14:paraId="4136FA9D">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44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28095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w:t>
            </w:r>
          </w:p>
        </w:tc>
      </w:tr>
      <w:tr w14:paraId="2BEC7CA7">
        <w:tblPrEx>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88254">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项目基本情况</w:t>
            </w: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7B5E7E">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1.项目年度目标完成情况</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E68A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项目年度目标</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EB9603">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14:paraId="6A27BFBC">
        <w:tblPrEx>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5E3E3">
            <w:pP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BE382">
            <w:pPr>
              <w:rPr>
                <w:rFonts w:ascii="宋体" w:hAnsi="宋体" w:cs="宋体"/>
                <w:color w:val="000000"/>
                <w:sz w:val="18"/>
                <w:szCs w:val="18"/>
              </w:rPr>
            </w:pP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85376F">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支队帮扶旺苍县天星乡大山村，帮助其振兴产业、文化、人才和生态建设，推进强村富民，走向共同富裕的道路。</w:t>
            </w:r>
          </w:p>
        </w:tc>
        <w:tc>
          <w:tcPr>
            <w:tcW w:w="55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F9CE6E">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支队帮扶困难群众47户，帮助其振兴产业、文化、人才和生态建设，推进强村富民，走向共同富裕的道路。</w:t>
            </w:r>
          </w:p>
        </w:tc>
      </w:tr>
      <w:tr w14:paraId="32CD12A8">
        <w:tblPrEx>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5058F">
            <w:pP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2D618">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2.项目实施内容及过程概述</w:t>
            </w:r>
          </w:p>
        </w:tc>
        <w:tc>
          <w:tcPr>
            <w:tcW w:w="122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1DDF338">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该项目资金用于驻村工作队经费支出，严格执行经费“使用审批”、“预算执行”、“管理监督”三个环节，硬化预算约束。</w:t>
            </w:r>
          </w:p>
        </w:tc>
      </w:tr>
      <w:tr w14:paraId="54F5ABB9">
        <w:tblPrEx>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AFACD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预算执行情况（10分）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CE61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年度预算数（万元）</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EE9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ABE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99821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094B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3767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C50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465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原因</w:t>
            </w:r>
          </w:p>
        </w:tc>
      </w:tr>
      <w:tr w14:paraId="3EA97392">
        <w:tblPrEx>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33826">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DCB7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总额</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DFD0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5.46</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8197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5.46</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CE13D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5.46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62CA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B7EF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E6E59">
            <w:pPr>
              <w:jc w:val="center"/>
              <w:rPr>
                <w:rFonts w:ascii="宋体" w:hAnsi="宋体" w:cs="宋体"/>
                <w:color w:val="000000"/>
                <w:sz w:val="18"/>
                <w:szCs w:val="18"/>
              </w:rPr>
            </w:pPr>
          </w:p>
        </w:tc>
        <w:tc>
          <w:tcPr>
            <w:tcW w:w="3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DA7C47">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27942DE5">
        <w:tblPrEx>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4AF9D">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7A1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其中：财政资金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BD9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5.46</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A7A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5.46</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60C48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5.46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9A5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75BD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CEF0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53CBA">
            <w:pPr>
              <w:rPr>
                <w:rFonts w:ascii="黑体" w:hAnsi="黑体" w:eastAsia="黑体" w:cs="黑体"/>
                <w:i/>
                <w:iCs/>
                <w:color w:val="000000"/>
                <w:sz w:val="18"/>
                <w:szCs w:val="18"/>
              </w:rPr>
            </w:pPr>
          </w:p>
        </w:tc>
      </w:tr>
      <w:tr w14:paraId="76228767">
        <w:tblPrEx>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AC918">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9BF8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财政专户管理资金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6A6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2C3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E56E0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7E4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C2A7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B9D9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139E5">
            <w:pPr>
              <w:rPr>
                <w:rFonts w:ascii="黑体" w:hAnsi="黑体" w:eastAsia="黑体" w:cs="黑体"/>
                <w:i/>
                <w:iCs/>
                <w:color w:val="000000"/>
                <w:sz w:val="18"/>
                <w:szCs w:val="18"/>
              </w:rPr>
            </w:pPr>
          </w:p>
        </w:tc>
      </w:tr>
      <w:tr w14:paraId="28E28709">
        <w:tblPrEx>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2FC4F">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A00C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单位资金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9C9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8B2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DA0B0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084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87C1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60C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6806F">
            <w:pPr>
              <w:rPr>
                <w:rFonts w:ascii="黑体" w:hAnsi="黑体" w:eastAsia="黑体" w:cs="黑体"/>
                <w:i/>
                <w:iCs/>
                <w:color w:val="000000"/>
                <w:sz w:val="18"/>
                <w:szCs w:val="18"/>
              </w:rPr>
            </w:pPr>
          </w:p>
        </w:tc>
      </w:tr>
      <w:tr w14:paraId="3DA7C2F9">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C0114">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21EA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其他资金</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55FB9">
            <w:pPr>
              <w:jc w:val="center"/>
              <w:rPr>
                <w:rFonts w:ascii="微软雅黑" w:hAnsi="微软雅黑" w:eastAsia="微软雅黑" w:cs="微软雅黑"/>
                <w:i/>
                <w:iCs/>
                <w:color w:val="000000"/>
                <w:sz w:val="16"/>
                <w:szCs w:val="16"/>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A4BB9">
            <w:pPr>
              <w:jc w:val="center"/>
              <w:rPr>
                <w:rFonts w:ascii="微软雅黑" w:hAnsi="微软雅黑" w:eastAsia="微软雅黑" w:cs="微软雅黑"/>
                <w:i/>
                <w:iCs/>
                <w:color w:val="000000"/>
                <w:sz w:val="16"/>
                <w:szCs w:val="16"/>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A2462D">
            <w:pPr>
              <w:jc w:val="center"/>
              <w:rPr>
                <w:rFonts w:ascii="微软雅黑" w:hAnsi="微软雅黑" w:eastAsia="微软雅黑" w:cs="微软雅黑"/>
                <w:i/>
                <w:iCs/>
                <w:color w:val="000000"/>
                <w:sz w:val="16"/>
                <w:szCs w:val="16"/>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406B4">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CBF3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8A6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6FE0C">
            <w:pPr>
              <w:rPr>
                <w:rFonts w:ascii="黑体" w:hAnsi="黑体" w:eastAsia="黑体" w:cs="黑体"/>
                <w:i/>
                <w:iCs/>
                <w:color w:val="000000"/>
                <w:sz w:val="18"/>
                <w:szCs w:val="18"/>
              </w:rPr>
            </w:pPr>
          </w:p>
        </w:tc>
      </w:tr>
      <w:tr w14:paraId="4C70F762">
        <w:tblPrEx>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FF9C9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绩效指标（90分）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9D26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一级指标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7031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1D4D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D4B7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195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6F93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3E1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639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203A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CDB7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未完成原因分析</w:t>
            </w:r>
          </w:p>
        </w:tc>
      </w:tr>
      <w:tr w14:paraId="00BAE3B7">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51B14">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81A7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产出指标</w:t>
            </w:r>
          </w:p>
        </w:tc>
        <w:tc>
          <w:tcPr>
            <w:tcW w:w="1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F05E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BF95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帮扶困难群众</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1DA5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820A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47</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B4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户</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F48A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E74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316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A7C43">
            <w:pPr>
              <w:jc w:val="center"/>
              <w:rPr>
                <w:rFonts w:ascii="微软雅黑" w:hAnsi="微软雅黑" w:eastAsia="微软雅黑" w:cs="微软雅黑"/>
                <w:i/>
                <w:iCs/>
                <w:color w:val="000000"/>
                <w:sz w:val="16"/>
                <w:szCs w:val="16"/>
              </w:rPr>
            </w:pPr>
          </w:p>
        </w:tc>
      </w:tr>
      <w:tr w14:paraId="0E740704">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D860B">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1EA9A">
            <w:pPr>
              <w:jc w:val="center"/>
              <w:rPr>
                <w:rFonts w:ascii="宋体" w:hAnsi="宋体" w:cs="宋体"/>
                <w:color w:val="000000"/>
                <w:sz w:val="18"/>
                <w:szCs w:val="18"/>
              </w:rPr>
            </w:pPr>
          </w:p>
        </w:tc>
        <w:tc>
          <w:tcPr>
            <w:tcW w:w="1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06992">
            <w:pPr>
              <w:jc w:val="center"/>
              <w:rPr>
                <w:rFonts w:ascii="宋体" w:hAnsi="宋体" w:cs="宋体"/>
                <w:color w:val="000000"/>
                <w:sz w:val="18"/>
                <w:szCs w:val="18"/>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655D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引进养殖项目</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0FB7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E151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07B7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项</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6D0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969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3D19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711D4">
            <w:pPr>
              <w:jc w:val="center"/>
              <w:rPr>
                <w:rFonts w:ascii="微软雅黑" w:hAnsi="微软雅黑" w:eastAsia="微软雅黑" w:cs="微软雅黑"/>
                <w:i/>
                <w:iCs/>
                <w:color w:val="000000"/>
                <w:sz w:val="16"/>
                <w:szCs w:val="16"/>
              </w:rPr>
            </w:pPr>
          </w:p>
        </w:tc>
      </w:tr>
      <w:tr w14:paraId="3375229E">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1BA9C">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CD96D">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2103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2BDD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巩固脱贫攻坚成果</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A947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927F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9DFE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8C3F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CACF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42A7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70A9">
            <w:pPr>
              <w:jc w:val="center"/>
              <w:rPr>
                <w:rFonts w:ascii="微软雅黑" w:hAnsi="微软雅黑" w:eastAsia="微软雅黑" w:cs="微软雅黑"/>
                <w:i/>
                <w:iCs/>
                <w:color w:val="000000"/>
                <w:sz w:val="16"/>
                <w:szCs w:val="16"/>
              </w:rPr>
            </w:pPr>
          </w:p>
        </w:tc>
      </w:tr>
      <w:tr w14:paraId="0F748019">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DFC3D">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808FC">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A59B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时效指标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DB2E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完成时间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F96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A1B7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8FE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270E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A102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6EB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F4B66">
            <w:pPr>
              <w:jc w:val="center"/>
              <w:rPr>
                <w:rFonts w:ascii="微软雅黑" w:hAnsi="微软雅黑" w:eastAsia="微软雅黑" w:cs="微软雅黑"/>
                <w:i/>
                <w:iCs/>
                <w:color w:val="000000"/>
                <w:sz w:val="16"/>
                <w:szCs w:val="16"/>
              </w:rPr>
            </w:pPr>
          </w:p>
        </w:tc>
      </w:tr>
      <w:tr w14:paraId="71B23662">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E326F">
            <w:pPr>
              <w:jc w:val="center"/>
              <w:rPr>
                <w:rFonts w:ascii="宋体" w:hAnsi="宋体" w:cs="宋体"/>
                <w:color w:val="000000"/>
                <w:sz w:val="18"/>
                <w:szCs w:val="18"/>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AA8D8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效益指标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A57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07FA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帮助困难户增收</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921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6A84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14E4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F19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5846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BFEC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45D5">
            <w:pPr>
              <w:jc w:val="center"/>
              <w:rPr>
                <w:rFonts w:ascii="微软雅黑" w:hAnsi="微软雅黑" w:eastAsia="微软雅黑" w:cs="微软雅黑"/>
                <w:i/>
                <w:iCs/>
                <w:color w:val="000000"/>
                <w:sz w:val="16"/>
                <w:szCs w:val="16"/>
              </w:rPr>
            </w:pPr>
          </w:p>
        </w:tc>
      </w:tr>
      <w:tr w14:paraId="39B18B1F">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6936D">
            <w:pPr>
              <w:jc w:val="center"/>
              <w:rPr>
                <w:rFonts w:ascii="宋体" w:hAnsi="宋体" w:cs="宋体"/>
                <w:color w:val="000000"/>
                <w:sz w:val="18"/>
                <w:szCs w:val="18"/>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1FE50">
            <w:pPr>
              <w:jc w:val="center"/>
              <w:rPr>
                <w:rFonts w:ascii="宋体" w:hAnsi="宋体"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27FF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DE53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持续推动乡村振兴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B23D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221D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8D73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0E02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EE7B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2CC0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4F2B2">
            <w:pPr>
              <w:jc w:val="center"/>
              <w:rPr>
                <w:rFonts w:ascii="微软雅黑" w:hAnsi="微软雅黑" w:eastAsia="微软雅黑" w:cs="微软雅黑"/>
                <w:i/>
                <w:iCs/>
                <w:color w:val="000000"/>
                <w:sz w:val="16"/>
                <w:szCs w:val="16"/>
              </w:rPr>
            </w:pPr>
          </w:p>
        </w:tc>
      </w:tr>
      <w:tr w14:paraId="023339AD">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2C5B1">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6EF5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满意度指标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5FA5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帮扶对象满意度指标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9083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被帮扶人员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5E44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2C5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5D2A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4A86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BD2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42DE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B6FFE">
            <w:pPr>
              <w:jc w:val="center"/>
              <w:rPr>
                <w:rFonts w:ascii="微软雅黑" w:hAnsi="微软雅黑" w:eastAsia="微软雅黑" w:cs="微软雅黑"/>
                <w:i/>
                <w:iCs/>
                <w:color w:val="000000"/>
                <w:sz w:val="16"/>
                <w:szCs w:val="16"/>
              </w:rPr>
            </w:pPr>
          </w:p>
        </w:tc>
      </w:tr>
      <w:tr w14:paraId="4076A2D6">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0FDE1">
            <w:pPr>
              <w:jc w:val="center"/>
              <w:rPr>
                <w:rFonts w:ascii="宋体" w:hAnsi="宋体" w:cs="宋体"/>
                <w:color w:val="000000"/>
                <w:sz w:val="18"/>
                <w:szCs w:val="18"/>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45DF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成本指标</w:t>
            </w:r>
          </w:p>
        </w:tc>
        <w:tc>
          <w:tcPr>
            <w:tcW w:w="1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DD6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经济成本指标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0B01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驻村干部下乡补助等</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2289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FC67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5.46</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B8C6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7EC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5.46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B18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1972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3E273">
            <w:pPr>
              <w:jc w:val="center"/>
              <w:rPr>
                <w:rFonts w:ascii="微软雅黑" w:hAnsi="微软雅黑" w:eastAsia="微软雅黑" w:cs="微软雅黑"/>
                <w:i/>
                <w:iCs/>
                <w:color w:val="000000"/>
                <w:sz w:val="16"/>
                <w:szCs w:val="16"/>
              </w:rPr>
            </w:pPr>
          </w:p>
        </w:tc>
      </w:tr>
      <w:tr w14:paraId="3A5DDFA5">
        <w:tblPrEx>
          <w:tblCellMar>
            <w:top w:w="0" w:type="dxa"/>
            <w:left w:w="108" w:type="dxa"/>
            <w:bottom w:w="0" w:type="dxa"/>
            <w:right w:w="108" w:type="dxa"/>
          </w:tblCellMar>
        </w:tblPrEx>
        <w:trPr>
          <w:trHeight w:val="286" w:hRule="atLeast"/>
        </w:trPr>
        <w:tc>
          <w:tcPr>
            <w:tcW w:w="105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2C14CD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FEB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8A2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9064C">
            <w:pPr>
              <w:rPr>
                <w:rFonts w:ascii="宋体" w:hAnsi="宋体" w:cs="宋体"/>
                <w:color w:val="000000"/>
                <w:sz w:val="18"/>
                <w:szCs w:val="18"/>
              </w:rPr>
            </w:pPr>
          </w:p>
        </w:tc>
      </w:tr>
      <w:tr w14:paraId="40225DB9">
        <w:tblPrEx>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497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评价结论</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455BB70">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该项目自评得分100分。2024年支队帮扶困难群众约47户，被帮扶群众生活水平、人均收入大大提高、生活环境大大改善。</w:t>
            </w:r>
          </w:p>
        </w:tc>
      </w:tr>
      <w:tr w14:paraId="170F1A6F">
        <w:tblPrEx>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0CF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存在问题</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96F4F10">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0C415AA8">
        <w:tblPrEx>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2CC4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改进措施</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E0099D5">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6BD4140F">
        <w:tblPrEx>
          <w:tblCellMar>
            <w:top w:w="0" w:type="dxa"/>
            <w:left w:w="108" w:type="dxa"/>
            <w:bottom w:w="0" w:type="dxa"/>
            <w:right w:w="108" w:type="dxa"/>
          </w:tblCellMar>
        </w:tblPrEx>
        <w:trPr>
          <w:trHeight w:val="286" w:hRule="atLeast"/>
        </w:trPr>
        <w:tc>
          <w:tcPr>
            <w:tcW w:w="7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80AE30">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项目负责人：</w:t>
            </w:r>
          </w:p>
        </w:tc>
        <w:tc>
          <w:tcPr>
            <w:tcW w:w="76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1F905E">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财务负责人：</w:t>
            </w:r>
          </w:p>
        </w:tc>
      </w:tr>
    </w:tbl>
    <w:p w14:paraId="06ECF410"/>
    <w:tbl>
      <w:tblPr>
        <w:tblStyle w:val="12"/>
        <w:tblW w:w="14970" w:type="dxa"/>
        <w:tblInd w:w="93" w:type="dxa"/>
        <w:tblLayout w:type="autofit"/>
        <w:tblCellMar>
          <w:top w:w="0" w:type="dxa"/>
          <w:left w:w="108" w:type="dxa"/>
          <w:bottom w:w="0" w:type="dxa"/>
          <w:right w:w="108" w:type="dxa"/>
        </w:tblCellMar>
      </w:tblPr>
      <w:tblGrid>
        <w:gridCol w:w="683"/>
        <w:gridCol w:w="2045"/>
        <w:gridCol w:w="1770"/>
        <w:gridCol w:w="2256"/>
        <w:gridCol w:w="520"/>
        <w:gridCol w:w="1672"/>
        <w:gridCol w:w="520"/>
        <w:gridCol w:w="1090"/>
        <w:gridCol w:w="505"/>
        <w:gridCol w:w="486"/>
        <w:gridCol w:w="3423"/>
      </w:tblGrid>
      <w:tr w14:paraId="3430CA24">
        <w:tblPrEx>
          <w:tblCellMar>
            <w:top w:w="0" w:type="dxa"/>
            <w:left w:w="108" w:type="dxa"/>
            <w:bottom w:w="0" w:type="dxa"/>
            <w:right w:w="108" w:type="dxa"/>
          </w:tblCellMar>
        </w:tblPrEx>
        <w:trPr>
          <w:trHeight w:val="904" w:hRule="atLeast"/>
        </w:trPr>
        <w:tc>
          <w:tcPr>
            <w:tcW w:w="149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FDDFCB2">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14:paraId="2EFC10E3">
        <w:tblPrEx>
          <w:tblCellMar>
            <w:top w:w="0" w:type="dxa"/>
            <w:left w:w="108" w:type="dxa"/>
            <w:bottom w:w="0" w:type="dxa"/>
            <w:right w:w="108" w:type="dxa"/>
          </w:tblCellMar>
        </w:tblPrEx>
        <w:trPr>
          <w:trHeight w:val="286" w:hRule="atLeast"/>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452F4">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项目名称</w:t>
            </w:r>
          </w:p>
        </w:tc>
        <w:tc>
          <w:tcPr>
            <w:tcW w:w="1224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551ABB6">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51080023T000008450451-民警法定工作日之外加班补贴</w:t>
            </w:r>
          </w:p>
        </w:tc>
      </w:tr>
      <w:tr w14:paraId="2971B088">
        <w:tblPrEx>
          <w:tblCellMar>
            <w:top w:w="0" w:type="dxa"/>
            <w:left w:w="108" w:type="dxa"/>
            <w:bottom w:w="0" w:type="dxa"/>
            <w:right w:w="108" w:type="dxa"/>
          </w:tblCellMar>
        </w:tblPrEx>
        <w:trPr>
          <w:trHeight w:val="512" w:hRule="atLeast"/>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1033C">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主管部门</w:t>
            </w:r>
          </w:p>
        </w:tc>
        <w:tc>
          <w:tcPr>
            <w:tcW w:w="67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D983BE">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广元市公安局交通警察支队部门</w:t>
            </w:r>
          </w:p>
        </w:tc>
        <w:tc>
          <w:tcPr>
            <w:tcW w:w="1090" w:type="dxa"/>
            <w:tcBorders>
              <w:top w:val="nil"/>
              <w:left w:val="nil"/>
              <w:bottom w:val="nil"/>
              <w:right w:val="nil"/>
            </w:tcBorders>
            <w:shd w:val="clear" w:color="auto" w:fill="auto"/>
            <w:vAlign w:val="center"/>
          </w:tcPr>
          <w:p w14:paraId="326EFE92">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44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7E3A9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w:t>
            </w:r>
          </w:p>
        </w:tc>
      </w:tr>
      <w:tr w14:paraId="2A3037C5">
        <w:tblPrEx>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EE7627">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3D069">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1.项目年度目标完成情况</w:t>
            </w:r>
          </w:p>
        </w:tc>
        <w:tc>
          <w:tcPr>
            <w:tcW w:w="67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A5DBE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项目年度目标</w:t>
            </w:r>
          </w:p>
        </w:tc>
        <w:tc>
          <w:tcPr>
            <w:tcW w:w="550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A45501">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14:paraId="1391E017">
        <w:tblPrEx>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9B6EE">
            <w:pPr>
              <w:rPr>
                <w:rFonts w:ascii="宋体" w:hAnsi="宋体" w:cs="宋体"/>
                <w:color w:val="000000"/>
                <w:sz w:val="18"/>
                <w:szCs w:val="18"/>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788FC">
            <w:pPr>
              <w:rPr>
                <w:rFonts w:ascii="宋体" w:hAnsi="宋体" w:cs="宋体"/>
                <w:color w:val="000000"/>
                <w:sz w:val="18"/>
                <w:szCs w:val="18"/>
              </w:rPr>
            </w:pPr>
          </w:p>
        </w:tc>
        <w:tc>
          <w:tcPr>
            <w:tcW w:w="67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99A07D">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民警法定节假日加班费</w:t>
            </w:r>
          </w:p>
        </w:tc>
        <w:tc>
          <w:tcPr>
            <w:tcW w:w="550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B020AD">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2024年，全市共查处交通违法85万余起，科学的部署了警力，维护了社会稳定。</w:t>
            </w:r>
          </w:p>
        </w:tc>
      </w:tr>
      <w:tr w14:paraId="2E4E6F8A">
        <w:tblPrEx>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43D40">
            <w:pP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9096">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2.项目实施内容及过程概述</w:t>
            </w:r>
          </w:p>
        </w:tc>
        <w:tc>
          <w:tcPr>
            <w:tcW w:w="1224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81AD5F2">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该项目资金用于民警节假日加班费支出，依据支队政工科考核结果进行发放。</w:t>
            </w:r>
          </w:p>
        </w:tc>
      </w:tr>
      <w:tr w14:paraId="6657CBEB">
        <w:tblPrEx>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D501A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294A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1D0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年初预算</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2B10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96486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F267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AEC1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3876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2DC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原因</w:t>
            </w:r>
          </w:p>
        </w:tc>
      </w:tr>
      <w:tr w14:paraId="364789CA">
        <w:tblPrEx>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D37D3">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AA8A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A1C2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187.70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AA04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187.70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5F465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187.70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D872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6BB6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5CCFD">
            <w:pPr>
              <w:jc w:val="center"/>
              <w:rPr>
                <w:rFonts w:ascii="宋体" w:hAnsi="宋体" w:cs="宋体"/>
                <w:color w:val="000000"/>
                <w:sz w:val="18"/>
                <w:szCs w:val="18"/>
              </w:rPr>
            </w:pPr>
          </w:p>
        </w:tc>
        <w:tc>
          <w:tcPr>
            <w:tcW w:w="34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A1DBC5">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6E0680EA">
        <w:tblPrEx>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B9BFC">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35AA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C95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187.70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B1D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187.70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8DB89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187.70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1070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73C0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8BA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C41E1">
            <w:pPr>
              <w:rPr>
                <w:rFonts w:ascii="黑体" w:hAnsi="黑体" w:eastAsia="黑体" w:cs="黑体"/>
                <w:i/>
                <w:iCs/>
                <w:color w:val="000000"/>
                <w:sz w:val="18"/>
                <w:szCs w:val="18"/>
              </w:rPr>
            </w:pPr>
          </w:p>
        </w:tc>
      </w:tr>
      <w:tr w14:paraId="40BA5C66">
        <w:tblPrEx>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7CA08">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E307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A74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F383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45C43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CF43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EE7D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DCF3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94A1B">
            <w:pPr>
              <w:rPr>
                <w:rFonts w:ascii="黑体" w:hAnsi="黑体" w:eastAsia="黑体" w:cs="黑体"/>
                <w:i/>
                <w:iCs/>
                <w:color w:val="000000"/>
                <w:sz w:val="18"/>
                <w:szCs w:val="18"/>
              </w:rPr>
            </w:pPr>
          </w:p>
        </w:tc>
      </w:tr>
      <w:tr w14:paraId="23C8BFC8">
        <w:tblPrEx>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DC189">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2943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F67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3F56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291A0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9E28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B34E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4B52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C7546">
            <w:pPr>
              <w:rPr>
                <w:rFonts w:ascii="黑体" w:hAnsi="黑体" w:eastAsia="黑体" w:cs="黑体"/>
                <w:i/>
                <w:iCs/>
                <w:color w:val="000000"/>
                <w:sz w:val="18"/>
                <w:szCs w:val="18"/>
              </w:rPr>
            </w:pPr>
          </w:p>
        </w:tc>
      </w:tr>
      <w:tr w14:paraId="4E75B158">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A4A44">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57EE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2F43">
            <w:pPr>
              <w:jc w:val="center"/>
              <w:rPr>
                <w:rFonts w:ascii="微软雅黑" w:hAnsi="微软雅黑" w:eastAsia="微软雅黑" w:cs="微软雅黑"/>
                <w:i/>
                <w:iCs/>
                <w:color w:val="000000"/>
                <w:sz w:val="16"/>
                <w:szCs w:val="16"/>
              </w:rPr>
            </w:pP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1C6B">
            <w:pPr>
              <w:jc w:val="center"/>
              <w:rPr>
                <w:rFonts w:ascii="微软雅黑" w:hAnsi="微软雅黑" w:eastAsia="微软雅黑" w:cs="微软雅黑"/>
                <w:i/>
                <w:iCs/>
                <w:color w:val="000000"/>
                <w:sz w:val="16"/>
                <w:szCs w:val="16"/>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42B1B6">
            <w:pPr>
              <w:jc w:val="center"/>
              <w:rPr>
                <w:rFonts w:ascii="微软雅黑" w:hAnsi="微软雅黑" w:eastAsia="微软雅黑" w:cs="微软雅黑"/>
                <w:i/>
                <w:iCs/>
                <w:color w:val="000000"/>
                <w:sz w:val="16"/>
                <w:szCs w:val="16"/>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C054F">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8093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57F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48598">
            <w:pPr>
              <w:rPr>
                <w:rFonts w:ascii="黑体" w:hAnsi="黑体" w:eastAsia="黑体" w:cs="黑体"/>
                <w:i/>
                <w:iCs/>
                <w:color w:val="000000"/>
                <w:sz w:val="18"/>
                <w:szCs w:val="18"/>
              </w:rPr>
            </w:pPr>
          </w:p>
        </w:tc>
      </w:tr>
      <w:tr w14:paraId="79D4798B">
        <w:tblPrEx>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6A4DF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9BE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5B8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二级指标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B7AD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4DDD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A133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957E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E9B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D98C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C6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C17B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未完成原因分析</w:t>
            </w:r>
          </w:p>
        </w:tc>
      </w:tr>
      <w:tr w14:paraId="32B66387">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43411">
            <w:pPr>
              <w:jc w:val="center"/>
              <w:rPr>
                <w:rFonts w:ascii="宋体" w:hAnsi="宋体" w:cs="宋体"/>
                <w:color w:val="000000"/>
                <w:sz w:val="18"/>
                <w:szCs w:val="18"/>
              </w:rPr>
            </w:pP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A2246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8F2A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数量指标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B0E2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节假日加班人次</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88E9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29A3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012A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人次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C107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350E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24F9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0DA7">
            <w:pPr>
              <w:jc w:val="center"/>
              <w:rPr>
                <w:rFonts w:ascii="微软雅黑" w:hAnsi="微软雅黑" w:eastAsia="微软雅黑" w:cs="微软雅黑"/>
                <w:i/>
                <w:iCs/>
                <w:color w:val="000000"/>
                <w:sz w:val="16"/>
                <w:szCs w:val="16"/>
              </w:rPr>
            </w:pPr>
          </w:p>
        </w:tc>
      </w:tr>
      <w:tr w14:paraId="5242E170">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2D74E">
            <w:pPr>
              <w:jc w:val="center"/>
              <w:rPr>
                <w:rFonts w:ascii="宋体" w:hAnsi="宋体" w:cs="宋体"/>
                <w:color w:val="000000"/>
                <w:sz w:val="18"/>
                <w:szCs w:val="18"/>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C889D">
            <w:pPr>
              <w:jc w:val="center"/>
              <w:rPr>
                <w:rFonts w:ascii="宋体" w:hAnsi="宋体" w:cs="宋体"/>
                <w:color w:val="000000"/>
                <w:sz w:val="18"/>
                <w:szCs w:val="18"/>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15FD8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质量指标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440B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打击重点违法</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0831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F05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CCB5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BDF8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82F7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CCCC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3F1C">
            <w:pPr>
              <w:jc w:val="center"/>
              <w:rPr>
                <w:rFonts w:ascii="微软雅黑" w:hAnsi="微软雅黑" w:eastAsia="微软雅黑" w:cs="微软雅黑"/>
                <w:i/>
                <w:iCs/>
                <w:color w:val="000000"/>
                <w:sz w:val="16"/>
                <w:szCs w:val="16"/>
              </w:rPr>
            </w:pPr>
          </w:p>
        </w:tc>
      </w:tr>
      <w:tr w14:paraId="41A812A7">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55D9D">
            <w:pPr>
              <w:jc w:val="center"/>
              <w:rPr>
                <w:rFonts w:ascii="宋体" w:hAnsi="宋体" w:cs="宋体"/>
                <w:color w:val="000000"/>
                <w:sz w:val="18"/>
                <w:szCs w:val="18"/>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64A3E">
            <w:pPr>
              <w:jc w:val="center"/>
              <w:rPr>
                <w:rFonts w:ascii="宋体" w:hAnsi="宋体" w:cs="宋体"/>
                <w:color w:val="000000"/>
                <w:sz w:val="18"/>
                <w:szCs w:val="18"/>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63B93">
            <w:pPr>
              <w:jc w:val="center"/>
              <w:rPr>
                <w:rFonts w:ascii="宋体" w:hAnsi="宋体" w:cs="宋体"/>
                <w:color w:val="000000"/>
                <w:sz w:val="18"/>
                <w:szCs w:val="18"/>
              </w:rPr>
            </w:pP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42B9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加班考核合格率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C541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5F1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43D2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7208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7A39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FA87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AB511">
            <w:pPr>
              <w:jc w:val="center"/>
              <w:rPr>
                <w:rFonts w:ascii="微软雅黑" w:hAnsi="微软雅黑" w:eastAsia="微软雅黑" w:cs="微软雅黑"/>
                <w:i/>
                <w:iCs/>
                <w:color w:val="000000"/>
                <w:sz w:val="16"/>
                <w:szCs w:val="16"/>
              </w:rPr>
            </w:pPr>
          </w:p>
        </w:tc>
      </w:tr>
      <w:tr w14:paraId="392EB456">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B9FFB">
            <w:pPr>
              <w:jc w:val="center"/>
              <w:rPr>
                <w:rFonts w:ascii="宋体" w:hAnsi="宋体" w:cs="宋体"/>
                <w:color w:val="000000"/>
                <w:sz w:val="18"/>
                <w:szCs w:val="18"/>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8DDF4">
            <w:pPr>
              <w:jc w:val="center"/>
              <w:rPr>
                <w:rFonts w:ascii="宋体" w:hAnsi="宋体" w:cs="宋体"/>
                <w:color w:val="000000"/>
                <w:sz w:val="18"/>
                <w:szCs w:val="18"/>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0B17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时效指标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F1D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完成时间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9DFB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8252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CA8F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74FF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CF5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21C3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8ED8B">
            <w:pPr>
              <w:jc w:val="center"/>
              <w:rPr>
                <w:rFonts w:ascii="微软雅黑" w:hAnsi="微软雅黑" w:eastAsia="微软雅黑" w:cs="微软雅黑"/>
                <w:i/>
                <w:iCs/>
                <w:color w:val="000000"/>
                <w:sz w:val="16"/>
                <w:szCs w:val="16"/>
              </w:rPr>
            </w:pPr>
          </w:p>
        </w:tc>
      </w:tr>
      <w:tr w14:paraId="09422F67">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16517">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60B6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2FE3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社会效益指标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C1A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缓堵保畅，净化道路交通环境</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7F9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2DF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548E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09D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6A4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8763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C4FA3">
            <w:pPr>
              <w:jc w:val="center"/>
              <w:rPr>
                <w:rFonts w:ascii="微软雅黑" w:hAnsi="微软雅黑" w:eastAsia="微软雅黑" w:cs="微软雅黑"/>
                <w:i/>
                <w:iCs/>
                <w:color w:val="000000"/>
                <w:sz w:val="16"/>
                <w:szCs w:val="16"/>
              </w:rPr>
            </w:pPr>
          </w:p>
        </w:tc>
      </w:tr>
      <w:tr w14:paraId="388B84BE">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7D2D8">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C093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满意度指标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AE2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服务对象满意度指标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872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交通参与者</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ECC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B7F3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8B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0250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50AB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6CBD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03E5E">
            <w:pPr>
              <w:jc w:val="center"/>
              <w:rPr>
                <w:rFonts w:ascii="微软雅黑" w:hAnsi="微软雅黑" w:eastAsia="微软雅黑" w:cs="微软雅黑"/>
                <w:i/>
                <w:iCs/>
                <w:color w:val="000000"/>
                <w:sz w:val="16"/>
                <w:szCs w:val="16"/>
              </w:rPr>
            </w:pPr>
          </w:p>
        </w:tc>
      </w:tr>
      <w:tr w14:paraId="06459E98">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BB70F">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8DF3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成本指标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5A06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经济成本指标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0D2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民警法定工作日之外加班补贴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DCD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F959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187.7</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5369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8315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187.7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6F1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AB21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C8DF8">
            <w:pPr>
              <w:jc w:val="center"/>
              <w:rPr>
                <w:rFonts w:ascii="微软雅黑" w:hAnsi="微软雅黑" w:eastAsia="微软雅黑" w:cs="微软雅黑"/>
                <w:i/>
                <w:iCs/>
                <w:color w:val="000000"/>
                <w:sz w:val="16"/>
                <w:szCs w:val="16"/>
              </w:rPr>
            </w:pPr>
          </w:p>
        </w:tc>
      </w:tr>
      <w:tr w14:paraId="71280995">
        <w:tblPrEx>
          <w:tblCellMar>
            <w:top w:w="0" w:type="dxa"/>
            <w:left w:w="108" w:type="dxa"/>
            <w:bottom w:w="0" w:type="dxa"/>
            <w:right w:w="108" w:type="dxa"/>
          </w:tblCellMar>
        </w:tblPrEx>
        <w:trPr>
          <w:trHeight w:val="286" w:hRule="atLeast"/>
        </w:trPr>
        <w:tc>
          <w:tcPr>
            <w:tcW w:w="105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FC41ED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F91C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A2E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08539">
            <w:pPr>
              <w:rPr>
                <w:rFonts w:ascii="宋体" w:hAnsi="宋体" w:cs="宋体"/>
                <w:color w:val="000000"/>
                <w:sz w:val="18"/>
                <w:szCs w:val="18"/>
              </w:rPr>
            </w:pPr>
          </w:p>
        </w:tc>
      </w:tr>
      <w:tr w14:paraId="278B03D8">
        <w:tblPrEx>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D78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评价结论</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02D937C">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该项目自评得分100分。节假日科学合力部署警力，打击重点违法，强化应急处置，保障了交通管理工作高效、有序运转。</w:t>
            </w:r>
          </w:p>
        </w:tc>
      </w:tr>
      <w:tr w14:paraId="6D39EFE1">
        <w:tblPrEx>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F13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存在问题</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B56FC1D">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6F8920E2">
        <w:tblPrEx>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FA41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改进措施</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AD151BC">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2151F7FF">
        <w:tblPrEx>
          <w:tblCellMar>
            <w:top w:w="0" w:type="dxa"/>
            <w:left w:w="108" w:type="dxa"/>
            <w:bottom w:w="0" w:type="dxa"/>
            <w:right w:w="108" w:type="dxa"/>
          </w:tblCellMar>
        </w:tblPrEx>
        <w:trPr>
          <w:trHeight w:val="286" w:hRule="atLeast"/>
        </w:trPr>
        <w:tc>
          <w:tcPr>
            <w:tcW w:w="72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1130C9">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项目负责人：</w:t>
            </w:r>
          </w:p>
        </w:tc>
        <w:tc>
          <w:tcPr>
            <w:tcW w:w="769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6E5741">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财务负责人：</w:t>
            </w:r>
          </w:p>
        </w:tc>
      </w:tr>
      <w:tr w14:paraId="0A484C64">
        <w:tblPrEx>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14:paraId="185D77F9">
            <w:pPr>
              <w:rPr>
                <w:rFonts w:ascii="宋体" w:hAnsi="宋体" w:cs="宋体"/>
                <w:color w:val="000000"/>
                <w:sz w:val="18"/>
                <w:szCs w:val="18"/>
              </w:rPr>
            </w:pPr>
          </w:p>
        </w:tc>
        <w:tc>
          <w:tcPr>
            <w:tcW w:w="2045" w:type="dxa"/>
            <w:tcBorders>
              <w:top w:val="nil"/>
              <w:left w:val="nil"/>
              <w:bottom w:val="nil"/>
              <w:right w:val="nil"/>
            </w:tcBorders>
            <w:shd w:val="clear" w:color="auto" w:fill="auto"/>
            <w:vAlign w:val="center"/>
          </w:tcPr>
          <w:p w14:paraId="4AD0D6BF">
            <w:pPr>
              <w:rPr>
                <w:rFonts w:ascii="宋体" w:hAnsi="宋体" w:cs="宋体"/>
                <w:color w:val="000000"/>
                <w:sz w:val="18"/>
                <w:szCs w:val="18"/>
              </w:rPr>
            </w:pPr>
          </w:p>
        </w:tc>
        <w:tc>
          <w:tcPr>
            <w:tcW w:w="1770" w:type="dxa"/>
            <w:tcBorders>
              <w:top w:val="nil"/>
              <w:left w:val="nil"/>
              <w:bottom w:val="nil"/>
              <w:right w:val="nil"/>
            </w:tcBorders>
            <w:shd w:val="clear" w:color="auto" w:fill="auto"/>
            <w:vAlign w:val="center"/>
          </w:tcPr>
          <w:p w14:paraId="3FBBB498">
            <w:pPr>
              <w:rPr>
                <w:rFonts w:ascii="宋体" w:hAnsi="宋体" w:cs="宋体"/>
                <w:color w:val="000000"/>
                <w:sz w:val="18"/>
                <w:szCs w:val="18"/>
              </w:rPr>
            </w:pPr>
          </w:p>
        </w:tc>
        <w:tc>
          <w:tcPr>
            <w:tcW w:w="2256" w:type="dxa"/>
            <w:tcBorders>
              <w:top w:val="nil"/>
              <w:left w:val="nil"/>
              <w:bottom w:val="nil"/>
              <w:right w:val="nil"/>
            </w:tcBorders>
            <w:shd w:val="clear" w:color="auto" w:fill="auto"/>
            <w:vAlign w:val="center"/>
          </w:tcPr>
          <w:p w14:paraId="38087E19">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23213150">
            <w:pPr>
              <w:rPr>
                <w:rFonts w:ascii="宋体" w:hAnsi="宋体" w:cs="宋体"/>
                <w:color w:val="000000"/>
                <w:sz w:val="18"/>
                <w:szCs w:val="18"/>
              </w:rPr>
            </w:pPr>
          </w:p>
        </w:tc>
        <w:tc>
          <w:tcPr>
            <w:tcW w:w="1672" w:type="dxa"/>
            <w:tcBorders>
              <w:top w:val="nil"/>
              <w:left w:val="nil"/>
              <w:bottom w:val="nil"/>
              <w:right w:val="nil"/>
            </w:tcBorders>
            <w:shd w:val="clear" w:color="auto" w:fill="auto"/>
            <w:vAlign w:val="center"/>
          </w:tcPr>
          <w:p w14:paraId="086E84D2">
            <w:pPr>
              <w:rPr>
                <w:rFonts w:ascii="宋体" w:hAnsi="宋体" w:cs="宋体"/>
                <w:color w:val="000000"/>
                <w:sz w:val="18"/>
                <w:szCs w:val="18"/>
              </w:rPr>
            </w:pPr>
          </w:p>
        </w:tc>
        <w:tc>
          <w:tcPr>
            <w:tcW w:w="520" w:type="dxa"/>
            <w:tcBorders>
              <w:top w:val="nil"/>
              <w:left w:val="nil"/>
              <w:bottom w:val="nil"/>
              <w:right w:val="nil"/>
            </w:tcBorders>
            <w:shd w:val="clear" w:color="auto" w:fill="auto"/>
            <w:vAlign w:val="center"/>
          </w:tcPr>
          <w:p w14:paraId="63EDB6F1">
            <w:pPr>
              <w:rPr>
                <w:rFonts w:ascii="宋体" w:hAnsi="宋体" w:cs="宋体"/>
                <w:color w:val="000000"/>
                <w:sz w:val="18"/>
                <w:szCs w:val="18"/>
              </w:rPr>
            </w:pPr>
          </w:p>
        </w:tc>
        <w:tc>
          <w:tcPr>
            <w:tcW w:w="1090" w:type="dxa"/>
            <w:tcBorders>
              <w:top w:val="nil"/>
              <w:left w:val="nil"/>
              <w:bottom w:val="nil"/>
              <w:right w:val="nil"/>
            </w:tcBorders>
            <w:shd w:val="clear" w:color="auto" w:fill="auto"/>
            <w:vAlign w:val="center"/>
          </w:tcPr>
          <w:p w14:paraId="65B3BE97">
            <w:pPr>
              <w:rPr>
                <w:rFonts w:ascii="宋体" w:hAnsi="宋体" w:cs="宋体"/>
                <w:color w:val="000000"/>
                <w:sz w:val="18"/>
                <w:szCs w:val="18"/>
              </w:rPr>
            </w:pPr>
          </w:p>
        </w:tc>
        <w:tc>
          <w:tcPr>
            <w:tcW w:w="505" w:type="dxa"/>
            <w:tcBorders>
              <w:top w:val="nil"/>
              <w:left w:val="nil"/>
              <w:bottom w:val="nil"/>
              <w:right w:val="nil"/>
            </w:tcBorders>
            <w:shd w:val="clear" w:color="auto" w:fill="auto"/>
            <w:vAlign w:val="center"/>
          </w:tcPr>
          <w:p w14:paraId="5D02FAD6">
            <w:pPr>
              <w:rPr>
                <w:rFonts w:ascii="宋体" w:hAnsi="宋体" w:cs="宋体"/>
                <w:color w:val="000000"/>
                <w:sz w:val="18"/>
                <w:szCs w:val="18"/>
              </w:rPr>
            </w:pPr>
          </w:p>
        </w:tc>
        <w:tc>
          <w:tcPr>
            <w:tcW w:w="486" w:type="dxa"/>
            <w:tcBorders>
              <w:top w:val="nil"/>
              <w:left w:val="nil"/>
              <w:bottom w:val="nil"/>
              <w:right w:val="nil"/>
            </w:tcBorders>
            <w:shd w:val="clear" w:color="auto" w:fill="auto"/>
            <w:vAlign w:val="center"/>
          </w:tcPr>
          <w:p w14:paraId="64A16DE8">
            <w:pPr>
              <w:rPr>
                <w:rFonts w:ascii="宋体" w:hAnsi="宋体" w:cs="宋体"/>
                <w:color w:val="000000"/>
                <w:sz w:val="18"/>
                <w:szCs w:val="18"/>
              </w:rPr>
            </w:pPr>
          </w:p>
        </w:tc>
        <w:tc>
          <w:tcPr>
            <w:tcW w:w="3423" w:type="dxa"/>
            <w:tcBorders>
              <w:top w:val="nil"/>
              <w:left w:val="nil"/>
              <w:bottom w:val="nil"/>
              <w:right w:val="nil"/>
            </w:tcBorders>
            <w:shd w:val="clear" w:color="auto" w:fill="auto"/>
            <w:vAlign w:val="center"/>
          </w:tcPr>
          <w:p w14:paraId="3458890F">
            <w:pPr>
              <w:rPr>
                <w:rFonts w:ascii="宋体" w:hAnsi="宋体" w:cs="宋体"/>
                <w:color w:val="000000"/>
                <w:sz w:val="18"/>
                <w:szCs w:val="18"/>
              </w:rPr>
            </w:pPr>
          </w:p>
        </w:tc>
      </w:tr>
      <w:tr w14:paraId="07C7C161">
        <w:tblPrEx>
          <w:tblCellMar>
            <w:top w:w="0" w:type="dxa"/>
            <w:left w:w="108" w:type="dxa"/>
            <w:bottom w:w="0" w:type="dxa"/>
            <w:right w:w="108" w:type="dxa"/>
          </w:tblCellMar>
        </w:tblPrEx>
        <w:trPr>
          <w:trHeight w:val="904" w:hRule="atLeast"/>
        </w:trPr>
        <w:tc>
          <w:tcPr>
            <w:tcW w:w="149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5146593">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14:paraId="5A7F45F0">
        <w:tblPrEx>
          <w:tblCellMar>
            <w:top w:w="0" w:type="dxa"/>
            <w:left w:w="108" w:type="dxa"/>
            <w:bottom w:w="0" w:type="dxa"/>
            <w:right w:w="108" w:type="dxa"/>
          </w:tblCellMar>
        </w:tblPrEx>
        <w:trPr>
          <w:trHeight w:val="286" w:hRule="atLeast"/>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2F130">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项目名称</w:t>
            </w:r>
          </w:p>
        </w:tc>
        <w:tc>
          <w:tcPr>
            <w:tcW w:w="1224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80AF8EC">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51080023T000008450533-驾驶人考试考场租赁</w:t>
            </w:r>
          </w:p>
        </w:tc>
      </w:tr>
      <w:tr w14:paraId="55C31A25">
        <w:tblPrEx>
          <w:tblCellMar>
            <w:top w:w="0" w:type="dxa"/>
            <w:left w:w="108" w:type="dxa"/>
            <w:bottom w:w="0" w:type="dxa"/>
            <w:right w:w="108" w:type="dxa"/>
          </w:tblCellMar>
        </w:tblPrEx>
        <w:trPr>
          <w:trHeight w:val="512" w:hRule="atLeast"/>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2FFF60">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主管部门</w:t>
            </w:r>
          </w:p>
        </w:tc>
        <w:tc>
          <w:tcPr>
            <w:tcW w:w="67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82A2F3">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广元市公安局交通警察支队部门</w:t>
            </w:r>
          </w:p>
        </w:tc>
        <w:tc>
          <w:tcPr>
            <w:tcW w:w="1090" w:type="dxa"/>
            <w:tcBorders>
              <w:top w:val="nil"/>
              <w:left w:val="nil"/>
              <w:bottom w:val="nil"/>
              <w:right w:val="nil"/>
            </w:tcBorders>
            <w:shd w:val="clear" w:color="auto" w:fill="auto"/>
            <w:vAlign w:val="center"/>
          </w:tcPr>
          <w:p w14:paraId="0E5F9735">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44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A8D31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广元市公安局交通警察支队</w:t>
            </w:r>
          </w:p>
        </w:tc>
      </w:tr>
      <w:tr w14:paraId="2C8407DC">
        <w:tblPrEx>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90955">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428FD4">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1.项目年度目标完成情况</w:t>
            </w:r>
          </w:p>
        </w:tc>
        <w:tc>
          <w:tcPr>
            <w:tcW w:w="67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3A0C6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项目年度目标</w:t>
            </w:r>
          </w:p>
        </w:tc>
        <w:tc>
          <w:tcPr>
            <w:tcW w:w="550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374B26">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14:paraId="64594989">
        <w:tblPrEx>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B6073">
            <w:pPr>
              <w:rPr>
                <w:rFonts w:ascii="宋体" w:hAnsi="宋体" w:cs="宋体"/>
                <w:color w:val="000000"/>
                <w:sz w:val="18"/>
                <w:szCs w:val="18"/>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2D4ED">
            <w:pPr>
              <w:rPr>
                <w:rFonts w:ascii="宋体" w:hAnsi="宋体" w:cs="宋体"/>
                <w:color w:val="000000"/>
                <w:sz w:val="18"/>
                <w:szCs w:val="18"/>
              </w:rPr>
            </w:pPr>
          </w:p>
        </w:tc>
        <w:tc>
          <w:tcPr>
            <w:tcW w:w="67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BA2E48">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驾驶人考试考场租赁</w:t>
            </w:r>
          </w:p>
        </w:tc>
        <w:tc>
          <w:tcPr>
            <w:tcW w:w="550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81AD5D">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2024年，共完成了11.23万人次的全科目考试，利用社会资源节约了资金。</w:t>
            </w:r>
          </w:p>
        </w:tc>
      </w:tr>
      <w:tr w14:paraId="422B87C8">
        <w:tblPrEx>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9A55E">
            <w:pP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858BB">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2.项目实施内容及过程概述</w:t>
            </w:r>
          </w:p>
        </w:tc>
        <w:tc>
          <w:tcPr>
            <w:tcW w:w="1224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D46D7AC">
            <w:pPr>
              <w:widowControl/>
              <w:jc w:val="left"/>
              <w:textAlignment w:val="center"/>
              <w:rPr>
                <w:rFonts w:ascii="宋体" w:hAnsi="宋体" w:cs="宋体"/>
                <w:color w:val="000000"/>
                <w:sz w:val="18"/>
                <w:szCs w:val="18"/>
              </w:rPr>
            </w:pPr>
            <w:r>
              <w:rPr>
                <w:rFonts w:ascii="宋体" w:hAnsi="宋体" w:cs="宋体"/>
                <w:color w:val="000000"/>
                <w:kern w:val="0"/>
                <w:sz w:val="18"/>
                <w:szCs w:val="18"/>
                <w:lang w:bidi="ar"/>
              </w:rPr>
              <w:t>该项目资金用于驾考场地租赁，按照相关要求为驾考人员提供符合条件的场地，严格执行经费“使用审批”、“预算执行”、“管理监督”三个环节，硬化预算约束。</w:t>
            </w:r>
          </w:p>
        </w:tc>
      </w:tr>
      <w:tr w14:paraId="49ABFD92">
        <w:tblPrEx>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46C9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BB4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E1A8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年初预算</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5D9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8D17C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C157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1A8F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11EE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4FE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原因</w:t>
            </w:r>
          </w:p>
        </w:tc>
      </w:tr>
      <w:tr w14:paraId="1EB49BE6">
        <w:tblPrEx>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FD3AE">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783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068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F9BE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761DF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D93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35F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98CB">
            <w:pPr>
              <w:jc w:val="center"/>
              <w:rPr>
                <w:rFonts w:ascii="宋体" w:hAnsi="宋体" w:cs="宋体"/>
                <w:color w:val="000000"/>
                <w:sz w:val="18"/>
                <w:szCs w:val="18"/>
              </w:rPr>
            </w:pPr>
          </w:p>
        </w:tc>
        <w:tc>
          <w:tcPr>
            <w:tcW w:w="34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E18104">
            <w:pPr>
              <w:widowControl/>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0C21CE8B">
        <w:tblPrEx>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BBB7E">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80D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939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B45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9ADD2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42A1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CC43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E67E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93970">
            <w:pPr>
              <w:rPr>
                <w:rFonts w:ascii="黑体" w:hAnsi="黑体" w:eastAsia="黑体" w:cs="黑体"/>
                <w:i/>
                <w:iCs/>
                <w:color w:val="000000"/>
                <w:sz w:val="18"/>
                <w:szCs w:val="18"/>
              </w:rPr>
            </w:pPr>
          </w:p>
        </w:tc>
      </w:tr>
      <w:tr w14:paraId="65887DA0">
        <w:tblPrEx>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6412D">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624F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F435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2606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383A3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76C0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BF8E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40D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1A47E">
            <w:pPr>
              <w:rPr>
                <w:rFonts w:ascii="黑体" w:hAnsi="黑体" w:eastAsia="黑体" w:cs="黑体"/>
                <w:i/>
                <w:iCs/>
                <w:color w:val="000000"/>
                <w:sz w:val="18"/>
                <w:szCs w:val="18"/>
              </w:rPr>
            </w:pPr>
          </w:p>
        </w:tc>
      </w:tr>
      <w:tr w14:paraId="7A46990F">
        <w:tblPrEx>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C0108">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9C1E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69A4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5A76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B4A60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C92B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4F50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136A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92174">
            <w:pPr>
              <w:rPr>
                <w:rFonts w:ascii="黑体" w:hAnsi="黑体" w:eastAsia="黑体" w:cs="黑体"/>
                <w:i/>
                <w:iCs/>
                <w:color w:val="000000"/>
                <w:sz w:val="18"/>
                <w:szCs w:val="18"/>
              </w:rPr>
            </w:pPr>
          </w:p>
        </w:tc>
      </w:tr>
      <w:tr w14:paraId="7FDF1B62">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3E3BE">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AE61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DA606">
            <w:pPr>
              <w:jc w:val="center"/>
              <w:rPr>
                <w:rFonts w:ascii="微软雅黑" w:hAnsi="微软雅黑" w:eastAsia="微软雅黑" w:cs="微软雅黑"/>
                <w:i/>
                <w:iCs/>
                <w:color w:val="000000"/>
                <w:sz w:val="16"/>
                <w:szCs w:val="16"/>
              </w:rPr>
            </w:pP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E33A3">
            <w:pPr>
              <w:jc w:val="center"/>
              <w:rPr>
                <w:rFonts w:ascii="微软雅黑" w:hAnsi="微软雅黑" w:eastAsia="微软雅黑" w:cs="微软雅黑"/>
                <w:i/>
                <w:iCs/>
                <w:color w:val="000000"/>
                <w:sz w:val="16"/>
                <w:szCs w:val="16"/>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3240C4">
            <w:pPr>
              <w:jc w:val="center"/>
              <w:rPr>
                <w:rFonts w:ascii="微软雅黑" w:hAnsi="微软雅黑" w:eastAsia="微软雅黑" w:cs="微软雅黑"/>
                <w:i/>
                <w:iCs/>
                <w:color w:val="000000"/>
                <w:sz w:val="16"/>
                <w:szCs w:val="16"/>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1F086">
            <w:pPr>
              <w:jc w:val="center"/>
              <w:rPr>
                <w:rFonts w:ascii="微软雅黑" w:hAnsi="微软雅黑" w:eastAsia="微软雅黑" w:cs="微软雅黑"/>
                <w:i/>
                <w:iCs/>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D112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1AE7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3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9A5C5">
            <w:pPr>
              <w:rPr>
                <w:rFonts w:ascii="黑体" w:hAnsi="黑体" w:eastAsia="黑体" w:cs="黑体"/>
                <w:i/>
                <w:iCs/>
                <w:color w:val="000000"/>
                <w:sz w:val="18"/>
                <w:szCs w:val="18"/>
              </w:rPr>
            </w:pPr>
          </w:p>
        </w:tc>
      </w:tr>
      <w:tr w14:paraId="5D2D88E9">
        <w:tblPrEx>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0CDCF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D6B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DFAF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二级指标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115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6F43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E9B6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5A04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664C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6900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B32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得分</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45674">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未完成原因分析</w:t>
            </w:r>
          </w:p>
        </w:tc>
      </w:tr>
      <w:tr w14:paraId="60A54339">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12D2D">
            <w:pPr>
              <w:jc w:val="center"/>
              <w:rPr>
                <w:rFonts w:ascii="宋体" w:hAnsi="宋体" w:cs="宋体"/>
                <w:color w:val="000000"/>
                <w:sz w:val="18"/>
                <w:szCs w:val="18"/>
              </w:rPr>
            </w:pP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DD522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4094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数量指标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CB3E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完成全科目考试人次</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36ED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E5C0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A825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万人次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AD377">
            <w:pPr>
              <w:widowControl/>
              <w:jc w:val="center"/>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11.23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B71F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3041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18C7B">
            <w:pPr>
              <w:jc w:val="center"/>
              <w:rPr>
                <w:rFonts w:ascii="微软雅黑" w:hAnsi="微软雅黑" w:eastAsia="微软雅黑" w:cs="微软雅黑"/>
                <w:i/>
                <w:iCs/>
                <w:color w:val="000000"/>
                <w:sz w:val="16"/>
                <w:szCs w:val="16"/>
              </w:rPr>
            </w:pPr>
          </w:p>
        </w:tc>
      </w:tr>
      <w:tr w14:paraId="4780DC0F">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67353">
            <w:pPr>
              <w:jc w:val="center"/>
              <w:rPr>
                <w:rFonts w:ascii="宋体" w:hAnsi="宋体" w:cs="宋体"/>
                <w:color w:val="000000"/>
                <w:sz w:val="18"/>
                <w:szCs w:val="18"/>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83FC4">
            <w:pPr>
              <w:jc w:val="center"/>
              <w:rPr>
                <w:rFonts w:ascii="宋体" w:hAnsi="宋体" w:cs="宋体"/>
                <w:color w:val="000000"/>
                <w:sz w:val="18"/>
                <w:szCs w:val="18"/>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5E7B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质量指标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8F9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为驾考人员提供符合条件的场地</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1BC9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ADC1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FAD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1D4E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597D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F0B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0A6B7">
            <w:pPr>
              <w:jc w:val="center"/>
              <w:rPr>
                <w:rFonts w:ascii="微软雅黑" w:hAnsi="微软雅黑" w:eastAsia="微软雅黑" w:cs="微软雅黑"/>
                <w:i/>
                <w:iCs/>
                <w:color w:val="000000"/>
                <w:sz w:val="16"/>
                <w:szCs w:val="16"/>
              </w:rPr>
            </w:pPr>
          </w:p>
        </w:tc>
      </w:tr>
      <w:tr w14:paraId="0DB2F7FF">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615E3">
            <w:pPr>
              <w:jc w:val="center"/>
              <w:rPr>
                <w:rFonts w:ascii="宋体" w:hAnsi="宋体" w:cs="宋体"/>
                <w:color w:val="000000"/>
                <w:sz w:val="18"/>
                <w:szCs w:val="18"/>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F6FDD">
            <w:pPr>
              <w:jc w:val="center"/>
              <w:rPr>
                <w:rFonts w:ascii="宋体" w:hAnsi="宋体" w:cs="宋体"/>
                <w:color w:val="000000"/>
                <w:sz w:val="18"/>
                <w:szCs w:val="18"/>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F244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时效指标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F5A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完成时间</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EEAF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A84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4E32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65C3A">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8B2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E36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A1909">
            <w:pPr>
              <w:jc w:val="center"/>
              <w:rPr>
                <w:rFonts w:ascii="微软雅黑" w:hAnsi="微软雅黑" w:eastAsia="微软雅黑" w:cs="微软雅黑"/>
                <w:i/>
                <w:iCs/>
                <w:color w:val="000000"/>
                <w:sz w:val="16"/>
                <w:szCs w:val="16"/>
              </w:rPr>
            </w:pPr>
          </w:p>
        </w:tc>
      </w:tr>
      <w:tr w14:paraId="00398C50">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F03D5">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73CC9">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FA51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经济效益指标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0727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利用社会资源节约资金</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750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054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C9E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级</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0F8A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051D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3D62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66A01">
            <w:pPr>
              <w:jc w:val="center"/>
              <w:rPr>
                <w:rFonts w:ascii="微软雅黑" w:hAnsi="微软雅黑" w:eastAsia="微软雅黑" w:cs="微软雅黑"/>
                <w:i/>
                <w:iCs/>
                <w:color w:val="000000"/>
                <w:sz w:val="16"/>
                <w:szCs w:val="16"/>
              </w:rPr>
            </w:pPr>
          </w:p>
        </w:tc>
      </w:tr>
      <w:tr w14:paraId="6F2B2CF5">
        <w:tblPrEx>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71126">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2CE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满意度指标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44B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服务对象满意度指标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C64F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驾考人员满意度</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E79F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A9B53">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165E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A71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FA9B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3B97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CE2A0">
            <w:pPr>
              <w:jc w:val="center"/>
              <w:rPr>
                <w:rFonts w:ascii="微软雅黑" w:hAnsi="微软雅黑" w:eastAsia="微软雅黑" w:cs="微软雅黑"/>
                <w:i/>
                <w:iCs/>
                <w:color w:val="000000"/>
                <w:sz w:val="16"/>
                <w:szCs w:val="16"/>
              </w:rPr>
            </w:pPr>
          </w:p>
        </w:tc>
      </w:tr>
      <w:tr w14:paraId="73763135">
        <w:tblPrEx>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F0138">
            <w:pPr>
              <w:jc w:val="center"/>
              <w:rPr>
                <w:rFonts w:ascii="宋体" w:hAnsi="宋体" w:cs="宋体"/>
                <w:color w:val="000000"/>
                <w:sz w:val="18"/>
                <w:szCs w:val="18"/>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171B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成本指标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CFFA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经济成本指标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B13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驾驶人考场租赁</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11E72">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4ABB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13FC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D81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378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21EF5">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811EC">
            <w:pPr>
              <w:jc w:val="center"/>
              <w:rPr>
                <w:rFonts w:ascii="微软雅黑" w:hAnsi="微软雅黑" w:eastAsia="微软雅黑" w:cs="微软雅黑"/>
                <w:i/>
                <w:iCs/>
                <w:color w:val="000000"/>
                <w:sz w:val="16"/>
                <w:szCs w:val="16"/>
              </w:rPr>
            </w:pPr>
          </w:p>
        </w:tc>
      </w:tr>
      <w:tr w14:paraId="1ACCE0CE">
        <w:tblPrEx>
          <w:tblCellMar>
            <w:top w:w="0" w:type="dxa"/>
            <w:left w:w="108" w:type="dxa"/>
            <w:bottom w:w="0" w:type="dxa"/>
            <w:right w:w="108" w:type="dxa"/>
          </w:tblCellMar>
        </w:tblPrEx>
        <w:trPr>
          <w:trHeight w:val="286" w:hRule="atLeast"/>
        </w:trPr>
        <w:tc>
          <w:tcPr>
            <w:tcW w:w="105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342BAC6">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580D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4DADF">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100</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6BBE">
            <w:pPr>
              <w:rPr>
                <w:rFonts w:ascii="宋体" w:hAnsi="宋体" w:cs="宋体"/>
                <w:color w:val="000000"/>
                <w:sz w:val="18"/>
                <w:szCs w:val="18"/>
              </w:rPr>
            </w:pPr>
          </w:p>
        </w:tc>
      </w:tr>
      <w:tr w14:paraId="3232F1BC">
        <w:tblPrEx>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90287">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评价结论</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B87A942">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该项目自评得分100分。2024年，共完成了11.23万人次的全科目考试，利用社会资源节约了资金。</w:t>
            </w:r>
          </w:p>
        </w:tc>
      </w:tr>
      <w:tr w14:paraId="53C63C14">
        <w:tblPrEx>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49A90">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存在问题</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07AE96C">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1CA5F116">
        <w:tblPrEx>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3FAB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改进措施</w:t>
            </w:r>
          </w:p>
        </w:tc>
        <w:tc>
          <w:tcPr>
            <w:tcW w:w="142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2F5DF01">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lang w:bidi="ar"/>
              </w:rPr>
              <w:t>无。</w:t>
            </w:r>
          </w:p>
        </w:tc>
      </w:tr>
      <w:tr w14:paraId="733BFF0B">
        <w:tblPrEx>
          <w:tblCellMar>
            <w:top w:w="0" w:type="dxa"/>
            <w:left w:w="108" w:type="dxa"/>
            <w:bottom w:w="0" w:type="dxa"/>
            <w:right w:w="108" w:type="dxa"/>
          </w:tblCellMar>
        </w:tblPrEx>
        <w:trPr>
          <w:trHeight w:val="286" w:hRule="atLeast"/>
        </w:trPr>
        <w:tc>
          <w:tcPr>
            <w:tcW w:w="72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E078B5">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项目负责人：</w:t>
            </w:r>
          </w:p>
        </w:tc>
        <w:tc>
          <w:tcPr>
            <w:tcW w:w="769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FF3E55">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lang w:bidi="ar"/>
              </w:rPr>
              <w:t>财务负责人：</w:t>
            </w:r>
          </w:p>
        </w:tc>
      </w:tr>
    </w:tbl>
    <w:p w14:paraId="19151F8E">
      <w:pPr>
        <w:sectPr>
          <w:pgSz w:w="16838" w:h="11906" w:orient="landscape"/>
          <w:pgMar w:top="1800" w:right="1440" w:bottom="1800" w:left="1440" w:header="851" w:footer="992" w:gutter="0"/>
          <w:pgNumType w:fmt="decimal"/>
          <w:cols w:space="425" w:num="1"/>
          <w:docGrid w:type="lines" w:linePitch="312" w:charSpace="0"/>
        </w:sectPr>
      </w:pPr>
    </w:p>
    <w:p w14:paraId="7A2B35D2">
      <w:pPr>
        <w:pStyle w:val="20"/>
        <w:spacing w:line="578" w:lineRule="exact"/>
        <w:jc w:val="center"/>
        <w:rPr>
          <w:rFonts w:ascii="方正小标宋简体" w:eastAsia="方正小标宋简体"/>
          <w:kern w:val="2"/>
          <w:sz w:val="44"/>
          <w:szCs w:val="44"/>
        </w:rPr>
      </w:pPr>
    </w:p>
    <w:p w14:paraId="131D93D2">
      <w:pPr>
        <w:pStyle w:val="20"/>
        <w:spacing w:line="578" w:lineRule="exact"/>
        <w:jc w:val="left"/>
        <w:rPr>
          <w:rFonts w:ascii="方正小标宋简体" w:eastAsia="方正小标宋简体"/>
          <w:kern w:val="2"/>
          <w:sz w:val="36"/>
          <w:szCs w:val="36"/>
        </w:rPr>
      </w:pPr>
      <w:r>
        <w:rPr>
          <w:rFonts w:hint="eastAsia" w:ascii="方正小标宋简体" w:eastAsia="方正小标宋简体"/>
          <w:kern w:val="2"/>
          <w:sz w:val="36"/>
          <w:szCs w:val="36"/>
        </w:rPr>
        <w:t>附件2</w:t>
      </w:r>
    </w:p>
    <w:p w14:paraId="6D098D6D">
      <w:pPr>
        <w:pStyle w:val="20"/>
        <w:spacing w:line="578" w:lineRule="exact"/>
        <w:jc w:val="center"/>
        <w:rPr>
          <w:rFonts w:hint="eastAsia" w:ascii="方正小标宋简体" w:eastAsia="方正小标宋简体"/>
          <w:kern w:val="2"/>
          <w:sz w:val="44"/>
          <w:szCs w:val="44"/>
        </w:rPr>
      </w:pPr>
      <w:r>
        <w:rPr>
          <w:rFonts w:hint="eastAsia" w:ascii="方正小标宋简体" w:eastAsia="方正小标宋简体"/>
          <w:kern w:val="2"/>
          <w:sz w:val="44"/>
          <w:szCs w:val="44"/>
        </w:rPr>
        <w:t>广元市公安局交通警察支队</w:t>
      </w:r>
    </w:p>
    <w:p w14:paraId="7A9A6253">
      <w:pPr>
        <w:pStyle w:val="20"/>
        <w:spacing w:line="578" w:lineRule="exact"/>
        <w:jc w:val="center"/>
        <w:rPr>
          <w:rFonts w:hint="eastAsia" w:ascii="方正小标宋简体" w:eastAsia="方正小标宋简体"/>
          <w:kern w:val="2"/>
          <w:sz w:val="44"/>
          <w:szCs w:val="44"/>
        </w:rPr>
      </w:pPr>
      <w:r>
        <w:rPr>
          <w:rFonts w:hint="eastAsia" w:ascii="方正小标宋简体" w:eastAsia="方正小标宋简体"/>
          <w:kern w:val="2"/>
          <w:sz w:val="44"/>
          <w:szCs w:val="44"/>
        </w:rPr>
        <w:t>2024年中央和省级政法转移支付资金</w:t>
      </w:r>
    </w:p>
    <w:p w14:paraId="1132D256">
      <w:pPr>
        <w:pStyle w:val="20"/>
        <w:spacing w:line="578" w:lineRule="exact"/>
        <w:jc w:val="center"/>
        <w:rPr>
          <w:rFonts w:hint="eastAsia" w:ascii="方正小标宋简体" w:eastAsia="方正小标宋简体"/>
          <w:kern w:val="2"/>
          <w:sz w:val="44"/>
          <w:szCs w:val="44"/>
        </w:rPr>
      </w:pPr>
      <w:r>
        <w:rPr>
          <w:rFonts w:hint="eastAsia" w:ascii="方正小标宋简体" w:eastAsia="方正小标宋简体"/>
          <w:kern w:val="2"/>
          <w:sz w:val="44"/>
          <w:szCs w:val="44"/>
        </w:rPr>
        <w:t>项目绩效自评报告</w:t>
      </w:r>
    </w:p>
    <w:p w14:paraId="04F6C628">
      <w:pPr>
        <w:pStyle w:val="20"/>
        <w:spacing w:line="578" w:lineRule="exact"/>
        <w:ind w:firstLine="640"/>
        <w:jc w:val="center"/>
        <w:rPr>
          <w:rFonts w:ascii="宋体" w:hAnsi="宋体"/>
          <w:kern w:val="2"/>
          <w:sz w:val="32"/>
          <w:szCs w:val="32"/>
        </w:rPr>
      </w:pPr>
      <w:r>
        <w:rPr>
          <w:rFonts w:hint="eastAsia" w:ascii="宋体" w:hAnsi="宋体"/>
          <w:kern w:val="2"/>
          <w:sz w:val="32"/>
          <w:szCs w:val="32"/>
        </w:rPr>
        <w:t xml:space="preserve"> </w:t>
      </w:r>
    </w:p>
    <w:p w14:paraId="692C2DA5">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一、项目概况</w:t>
      </w:r>
    </w:p>
    <w:p w14:paraId="440C6AE2">
      <w:pPr>
        <w:adjustRightInd w:val="0"/>
        <w:snapToGrid w:val="0"/>
        <w:spacing w:line="560" w:lineRule="exact"/>
        <w:ind w:firstLine="643" w:firstLineChars="200"/>
        <w:rPr>
          <w:rFonts w:ascii="黑体" w:hAnsi="黑体" w:eastAsia="黑体"/>
          <w:sz w:val="32"/>
          <w:szCs w:val="32"/>
        </w:rPr>
      </w:pPr>
      <w:r>
        <w:rPr>
          <w:rFonts w:hint="eastAsia" w:ascii="仿宋_GB2312" w:hAnsi="宋体" w:eastAsia="仿宋_GB2312"/>
          <w:b/>
          <w:sz w:val="32"/>
          <w:szCs w:val="32"/>
        </w:rPr>
        <w:t>（一）设立背景及基本情况。</w:t>
      </w:r>
      <w:r>
        <w:rPr>
          <w:rFonts w:hint="eastAsia" w:ascii="仿宋_GB2312" w:hAnsi="宋体" w:eastAsia="仿宋_GB2312"/>
          <w:sz w:val="32"/>
          <w:szCs w:val="32"/>
        </w:rPr>
        <w:t>我支队</w:t>
      </w:r>
      <w:r>
        <w:rPr>
          <w:rFonts w:hint="eastAsia" w:ascii="仿宋_GB2312" w:eastAsia="仿宋_GB2312"/>
          <w:sz w:val="32"/>
          <w:szCs w:val="32"/>
        </w:rPr>
        <w:t>一是负责全市</w:t>
      </w:r>
      <w:r>
        <w:rPr>
          <w:rFonts w:hint="eastAsia" w:ascii="仿宋_GB2312" w:hAnsi="仿宋" w:eastAsia="仿宋_GB2312" w:cs="仿宋"/>
          <w:sz w:val="32"/>
          <w:szCs w:val="32"/>
          <w:shd w:val="clear" w:color="auto" w:fill="FFFFFF"/>
        </w:rPr>
        <w:t>23287公里道路（其中高速公路395公里、国道682公里、省道2355公里、县乡公路8949公里、村道公路10906公里</w:t>
      </w:r>
      <w:r>
        <w:rPr>
          <w:rFonts w:hint="eastAsia" w:ascii="仿宋_GB2312" w:eastAsia="仿宋_GB2312"/>
          <w:sz w:val="32"/>
          <w:szCs w:val="32"/>
        </w:rPr>
        <w:t>）交通安全管理，纠正交通违章，维护交通秩序，处理突发事件，配合开展警卫工作。二是负责全市62.8万余辆机动车及14.8万辆非机动车注册登记、核发牌证、过户、转籍等工作；三是负责全市机动车驾驶人考试及驾驶证的核发、补发等工作；四是负责交通事故责任认定、交通安全宣传以及参与道路交通管理工作规划;</w:t>
      </w:r>
      <w:r>
        <w:rPr>
          <w:rFonts w:hint="eastAsia" w:ascii="仿宋_GB2312" w:eastAsia="仿宋_GB2312"/>
          <w:kern w:val="0"/>
          <w:sz w:val="32"/>
          <w:szCs w:val="32"/>
          <w:shd w:val="clear" w:color="auto" w:fill="FFFFFF"/>
        </w:rPr>
        <w:t>每年车管规费收入的30%上缴省财政，省财政厅根据我支队规费上缴情况和工作绩效下达资金计划。</w:t>
      </w:r>
    </w:p>
    <w:p w14:paraId="394A7A44">
      <w:pPr>
        <w:adjustRightInd w:val="0"/>
        <w:snapToGrid w:val="0"/>
        <w:spacing w:line="560" w:lineRule="exact"/>
        <w:ind w:firstLine="643" w:firstLineChars="200"/>
        <w:rPr>
          <w:rFonts w:ascii="仿宋_GB2312" w:eastAsia="仿宋_GB2312"/>
          <w:sz w:val="32"/>
          <w:szCs w:val="32"/>
        </w:rPr>
      </w:pPr>
      <w:r>
        <w:rPr>
          <w:rFonts w:hint="eastAsia" w:ascii="仿宋_GB2312" w:hAnsi="宋体" w:eastAsia="仿宋_GB2312"/>
          <w:b/>
          <w:sz w:val="32"/>
          <w:szCs w:val="32"/>
        </w:rPr>
        <w:t>（二）实施目的及支持方向。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w:t>
      </w:r>
      <w:r>
        <w:rPr>
          <w:rFonts w:hint="eastAsia" w:ascii="仿宋_GB2312" w:eastAsia="仿宋_GB2312"/>
          <w:kern w:val="0"/>
          <w:sz w:val="32"/>
          <w:szCs w:val="32"/>
          <w:shd w:val="clear" w:color="auto" w:fill="FFFFFF"/>
        </w:rPr>
        <w:t>旨在</w:t>
      </w:r>
      <w:r>
        <w:rPr>
          <w:rFonts w:hint="eastAsia" w:ascii="仿宋_GB2312" w:eastAsia="仿宋_GB2312"/>
          <w:sz w:val="32"/>
          <w:szCs w:val="32"/>
        </w:rPr>
        <w:t>深化路面秩序专项整治，常态开展交通违法整治，有力净化交通秩序；主要任务是提高路面民警卡口管控、处理交通事故、突发事件的能力，提升群众安全感。</w:t>
      </w:r>
    </w:p>
    <w:p w14:paraId="1F243ED6">
      <w:pPr>
        <w:adjustRightInd w:val="0"/>
        <w:snapToGrid w:val="0"/>
        <w:spacing w:line="560" w:lineRule="exact"/>
        <w:ind w:firstLine="643" w:firstLineChars="200"/>
        <w:rPr>
          <w:rFonts w:ascii="仿宋_GB2312" w:hAnsi="宋体" w:eastAsia="仿宋_GB2312" w:cs="宋体"/>
          <w:kern w:val="0"/>
          <w:sz w:val="32"/>
          <w:szCs w:val="32"/>
        </w:rPr>
      </w:pPr>
      <w:r>
        <w:rPr>
          <w:rFonts w:hint="eastAsia" w:ascii="仿宋_GB2312" w:hAnsi="宋体" w:eastAsia="仿宋_GB2312"/>
          <w:b/>
          <w:sz w:val="32"/>
          <w:szCs w:val="32"/>
        </w:rPr>
        <w:t>（三）预算安排及分配管理。</w:t>
      </w:r>
      <w:r>
        <w:rPr>
          <w:rFonts w:hint="eastAsia" w:ascii="仿宋_GB2312" w:eastAsia="仿宋_GB2312"/>
          <w:kern w:val="0"/>
          <w:sz w:val="32"/>
          <w:szCs w:val="32"/>
          <w:shd w:val="clear" w:color="auto" w:fill="FFFFFF"/>
        </w:rPr>
        <w:t>项目预算资金1121万元，资金主要</w:t>
      </w:r>
      <w:r>
        <w:rPr>
          <w:rFonts w:hint="eastAsia" w:ascii="仿宋_GB2312" w:eastAsia="仿宋_GB2312"/>
          <w:sz w:val="32"/>
          <w:szCs w:val="32"/>
        </w:rPr>
        <w:t>考虑装备购置、车管成本、办案业务经费及协警员经费为主</w:t>
      </w:r>
      <w:r>
        <w:rPr>
          <w:rFonts w:hint="eastAsia" w:ascii="仿宋_GB2312" w:eastAsia="仿宋_GB2312"/>
          <w:kern w:val="0"/>
          <w:sz w:val="32"/>
          <w:szCs w:val="32"/>
          <w:shd w:val="clear" w:color="auto" w:fill="FFFFFF"/>
        </w:rPr>
        <w:t>。</w:t>
      </w:r>
    </w:p>
    <w:p w14:paraId="004E6D00">
      <w:pPr>
        <w:adjustRightInd w:val="0"/>
        <w:snapToGrid w:val="0"/>
        <w:spacing w:line="560" w:lineRule="exact"/>
        <w:ind w:firstLine="643" w:firstLineChars="200"/>
        <w:rPr>
          <w:rFonts w:ascii="仿宋_GB2312" w:eastAsia="仿宋_GB2312"/>
          <w:sz w:val="32"/>
          <w:szCs w:val="32"/>
        </w:rPr>
      </w:pPr>
      <w:r>
        <w:rPr>
          <w:rFonts w:hint="eastAsia" w:ascii="仿宋_GB2312" w:hAnsi="宋体" w:eastAsia="仿宋_GB2312"/>
          <w:b/>
          <w:sz w:val="32"/>
          <w:szCs w:val="32"/>
        </w:rPr>
        <w:t>（四）项目绩效目标设置。</w:t>
      </w:r>
      <w:r>
        <w:rPr>
          <w:rFonts w:hint="eastAsia" w:ascii="仿宋_GB2312" w:eastAsia="仿宋_GB2312"/>
          <w:sz w:val="32"/>
          <w:szCs w:val="32"/>
        </w:rPr>
        <w:t>根据预算绩效管理要求，在绩效目标编制阶段，能够科学、合理的设置，使绩效目标内容完整，细化量化，可操作性强，与预算匹配。成立了以支队长任组长的项目自评领导小组，下设办公室具体负责自评工作，采取调阅资料、现场查看等方式开展自评工作</w:t>
      </w:r>
      <w:r>
        <w:rPr>
          <w:rFonts w:hint="eastAsia" w:ascii="仿宋_GB2312" w:eastAsia="仿宋_GB2312"/>
          <w:kern w:val="0"/>
          <w:sz w:val="32"/>
          <w:szCs w:val="32"/>
          <w:shd w:val="clear" w:color="auto" w:fill="FFFFFF"/>
        </w:rPr>
        <w:t>。</w:t>
      </w:r>
    </w:p>
    <w:p w14:paraId="1018F801">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二、评价实施</w:t>
      </w:r>
    </w:p>
    <w:p w14:paraId="78005597">
      <w:pPr>
        <w:spacing w:line="560" w:lineRule="exact"/>
        <w:ind w:firstLine="640"/>
        <w:rPr>
          <w:rFonts w:ascii="仿宋_GB2312" w:hAnsi="Times New Roman" w:eastAsia="仿宋_GB2312"/>
          <w:sz w:val="32"/>
          <w:szCs w:val="32"/>
        </w:rPr>
      </w:pPr>
      <w:r>
        <w:rPr>
          <w:rFonts w:hint="eastAsia" w:ascii="仿宋_GB2312" w:hAnsi="宋体" w:eastAsia="仿宋_GB2312"/>
          <w:b/>
          <w:sz w:val="32"/>
          <w:szCs w:val="32"/>
        </w:rPr>
        <w:t>（一）评价目的。</w:t>
      </w:r>
      <w:r>
        <w:rPr>
          <w:rFonts w:hint="eastAsia" w:ascii="仿宋_GB2312" w:eastAsia="仿宋_GB2312"/>
          <w:sz w:val="32"/>
          <w:szCs w:val="32"/>
        </w:rPr>
        <w:t>通过项目绩效自评，主要结合资金使用情况，查看项目资金发挥的效益情况，是否实现年初绩效目标。</w:t>
      </w:r>
    </w:p>
    <w:p w14:paraId="160D01B2">
      <w:pPr>
        <w:adjustRightInd w:val="0"/>
        <w:snapToGrid w:val="0"/>
        <w:spacing w:line="560" w:lineRule="exact"/>
        <w:ind w:firstLine="643" w:firstLineChars="200"/>
        <w:rPr>
          <w:rFonts w:ascii="仿宋_GB2312" w:eastAsia="仿宋_GB2312"/>
          <w:sz w:val="32"/>
          <w:szCs w:val="32"/>
        </w:rPr>
      </w:pPr>
      <w:r>
        <w:rPr>
          <w:rFonts w:hint="eastAsia" w:ascii="仿宋_GB2312" w:hAnsi="宋体" w:eastAsia="仿宋_GB2312"/>
          <w:b/>
          <w:sz w:val="32"/>
          <w:szCs w:val="32"/>
        </w:rPr>
        <w:t>（二）预设问题及评价重点。</w:t>
      </w:r>
      <w:r>
        <w:rPr>
          <w:rFonts w:hint="eastAsia" w:ascii="仿宋_GB2312" w:hAnsi="宋体" w:eastAsia="仿宋_GB2312"/>
          <w:sz w:val="32"/>
          <w:szCs w:val="32"/>
        </w:rPr>
        <w:t>预设问题为采购项目是否按照相关要求应采尽采，评价重点在于项目是否达到预期目标。</w:t>
      </w:r>
    </w:p>
    <w:p w14:paraId="3A72AD47">
      <w:pPr>
        <w:adjustRightInd w:val="0"/>
        <w:snapToGrid w:val="0"/>
        <w:spacing w:line="560" w:lineRule="exact"/>
        <w:ind w:firstLine="643" w:firstLineChars="200"/>
        <w:rPr>
          <w:rFonts w:ascii="仿宋_GB2312" w:eastAsia="仿宋_GB2312"/>
          <w:sz w:val="32"/>
          <w:szCs w:val="32"/>
        </w:rPr>
      </w:pPr>
      <w:r>
        <w:rPr>
          <w:rFonts w:hint="eastAsia" w:ascii="仿宋_GB2312" w:hAnsi="宋体" w:eastAsia="仿宋_GB2312"/>
          <w:b/>
          <w:sz w:val="32"/>
          <w:szCs w:val="32"/>
        </w:rPr>
        <w:t>（三）评价选点。</w:t>
      </w:r>
      <w:r>
        <w:rPr>
          <w:rFonts w:hint="eastAsia" w:ascii="仿宋_GB2312" w:hAnsi="宋体" w:eastAsia="仿宋_GB2312"/>
          <w:sz w:val="32"/>
          <w:szCs w:val="32"/>
        </w:rPr>
        <w:t>通过抽取政府采购项目具体情况，查看资金使用情况。</w:t>
      </w:r>
    </w:p>
    <w:p w14:paraId="1A054BFC">
      <w:pPr>
        <w:adjustRightInd w:val="0"/>
        <w:snapToGrid w:val="0"/>
        <w:spacing w:line="560" w:lineRule="exact"/>
        <w:ind w:firstLine="720"/>
        <w:rPr>
          <w:rFonts w:ascii="仿宋_GB2312" w:eastAsia="仿宋_GB2312"/>
          <w:sz w:val="32"/>
          <w:szCs w:val="32"/>
        </w:rPr>
      </w:pPr>
      <w:r>
        <w:rPr>
          <w:rFonts w:hint="eastAsia" w:ascii="仿宋_GB2312" w:hAnsi="宋体" w:eastAsia="仿宋_GB2312"/>
          <w:b/>
          <w:sz w:val="32"/>
          <w:szCs w:val="32"/>
        </w:rPr>
        <w:t>（四）评价方法。</w:t>
      </w:r>
      <w:r>
        <w:rPr>
          <w:rFonts w:hint="eastAsia" w:ascii="仿宋_GB2312" w:eastAsia="仿宋_GB2312"/>
          <w:sz w:val="32"/>
          <w:szCs w:val="32"/>
        </w:rPr>
        <w:t>该项目采取了调阅相关数据资料的方式开展自评工作。</w:t>
      </w:r>
    </w:p>
    <w:p w14:paraId="6C8E32C3">
      <w:pPr>
        <w:spacing w:line="560" w:lineRule="exact"/>
        <w:ind w:firstLine="640"/>
        <w:rPr>
          <w:rFonts w:ascii="仿宋_GB2312" w:eastAsia="仿宋_GB2312"/>
          <w:sz w:val="32"/>
          <w:szCs w:val="32"/>
        </w:rPr>
      </w:pPr>
      <w:r>
        <w:rPr>
          <w:rFonts w:hint="eastAsia" w:ascii="仿宋_GB2312" w:hAnsi="宋体" w:eastAsia="仿宋_GB2312"/>
          <w:b/>
          <w:sz w:val="32"/>
          <w:szCs w:val="32"/>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14:paraId="7E553905">
      <w:pPr>
        <w:spacing w:line="560" w:lineRule="exact"/>
        <w:ind w:firstLine="640"/>
        <w:rPr>
          <w:rFonts w:ascii="黑体" w:hAnsi="黑体" w:eastAsia="黑体"/>
          <w:sz w:val="32"/>
          <w:szCs w:val="32"/>
        </w:rPr>
      </w:pPr>
      <w:r>
        <w:rPr>
          <w:rFonts w:hint="eastAsia" w:ascii="黑体" w:hAnsi="黑体" w:eastAsia="黑体"/>
          <w:sz w:val="32"/>
          <w:szCs w:val="32"/>
        </w:rPr>
        <w:t>三、绩效分析</w:t>
      </w:r>
      <w:r>
        <w:rPr>
          <w:rFonts w:hint="eastAsia" w:ascii="黑体" w:hAnsi="黑体" w:eastAsia="黑体"/>
          <w:sz w:val="32"/>
          <w:szCs w:val="32"/>
        </w:rPr>
        <w:tab/>
      </w:r>
    </w:p>
    <w:p w14:paraId="0191BB90">
      <w:pPr>
        <w:spacing w:line="560" w:lineRule="exact"/>
        <w:ind w:firstLine="640"/>
        <w:rPr>
          <w:rFonts w:ascii="仿宋_GB2312" w:hAnsi="宋体" w:eastAsia="仿宋_GB2312"/>
          <w:b/>
          <w:sz w:val="32"/>
          <w:szCs w:val="32"/>
        </w:rPr>
      </w:pPr>
      <w:r>
        <w:rPr>
          <w:rFonts w:hint="eastAsia" w:ascii="仿宋_GB2312" w:hAnsi="宋体" w:eastAsia="仿宋_GB2312"/>
          <w:b/>
          <w:sz w:val="32"/>
          <w:szCs w:val="32"/>
        </w:rPr>
        <w:t>（一）通用指标</w:t>
      </w:r>
      <w:r>
        <w:rPr>
          <w:rFonts w:hint="eastAsia" w:ascii="仿宋_GB2312" w:eastAsia="仿宋_GB2312"/>
          <w:b/>
          <w:bCs/>
          <w:color w:val="000000"/>
          <w:kern w:val="0"/>
          <w:sz w:val="32"/>
          <w:szCs w:val="32"/>
          <w:shd w:val="clear" w:color="auto" w:fill="FFFFFF"/>
        </w:rPr>
        <w:t>绩效分析。</w:t>
      </w:r>
    </w:p>
    <w:p w14:paraId="11505DE9">
      <w:pPr>
        <w:adjustRightInd w:val="0"/>
        <w:snapToGrid w:val="0"/>
        <w:spacing w:line="560" w:lineRule="exact"/>
        <w:ind w:firstLine="720"/>
        <w:rPr>
          <w:rFonts w:ascii="仿宋_GB2312" w:hAnsi="宋体" w:eastAsia="仿宋_GB2312"/>
          <w:sz w:val="32"/>
          <w:szCs w:val="32"/>
        </w:rPr>
      </w:pPr>
      <w:r>
        <w:rPr>
          <w:rFonts w:hint="eastAsia" w:ascii="仿宋_GB2312" w:eastAsia="仿宋_GB2312"/>
          <w:sz w:val="32"/>
          <w:szCs w:val="32"/>
        </w:rPr>
        <w:t>1.项目决策（18分）。</w:t>
      </w:r>
      <w:r>
        <w:rPr>
          <w:rFonts w:hint="eastAsia" w:ascii="仿宋_GB2312" w:hAnsi="宋体" w:eastAsia="仿宋_GB2312"/>
          <w:sz w:val="32"/>
          <w:szCs w:val="32"/>
        </w:rPr>
        <w:t>该项目具体由各科室（大队）根据实际情况进行资金使用申报，由办公室就项目具体内容、所需资金等汇总形成报告，报告提交交警支队党总支会议审核，审核通过后根据财政批复情况具体进行实施。</w:t>
      </w:r>
    </w:p>
    <w:p w14:paraId="30EB7D1A">
      <w:pPr>
        <w:spacing w:line="560" w:lineRule="exact"/>
        <w:ind w:firstLine="640" w:firstLineChars="200"/>
        <w:rPr>
          <w:rFonts w:ascii="仿宋_GB2312" w:hAnsi="Times New Roman" w:eastAsia="仿宋_GB2312"/>
          <w:sz w:val="32"/>
          <w:szCs w:val="32"/>
        </w:rPr>
      </w:pPr>
      <w:r>
        <w:rPr>
          <w:rFonts w:hint="eastAsia" w:ascii="仿宋_GB2312" w:eastAsia="仿宋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w:t>
      </w:r>
      <w:r>
        <w:rPr>
          <w:rFonts w:hint="eastAsia" w:ascii="仿宋_GB2312" w:eastAsia="仿宋_GB2312"/>
          <w:sz w:val="32"/>
          <w:szCs w:val="32"/>
        </w:rPr>
        <w:t>严格遵照《中华人民共和国招投标法》，凡达到政府采购标准的，全部进行公开招标和采购。确保支队项目规范采购，按期优质完成；同时，还安排了具体人员负责技术指导和监督，按照标准和合同，严把质量关、进度关，确保项目按期进行和达到预期目标。</w:t>
      </w:r>
    </w:p>
    <w:p w14:paraId="50D172A8">
      <w:pPr>
        <w:spacing w:line="560" w:lineRule="exact"/>
        <w:ind w:firstLine="640" w:firstLineChars="200"/>
        <w:rPr>
          <w:rFonts w:ascii="仿宋_GB2312" w:eastAsia="仿宋_GB2312"/>
          <w:sz w:val="32"/>
          <w:szCs w:val="32"/>
        </w:rPr>
      </w:pPr>
      <w:r>
        <w:rPr>
          <w:rFonts w:hint="eastAsia" w:ascii="仿宋_GB2312" w:eastAsia="仿宋_GB2312"/>
          <w:sz w:val="32"/>
          <w:szCs w:val="32"/>
        </w:rPr>
        <w:t>3.项目实施（9分）。</w:t>
      </w:r>
      <w:r>
        <w:rPr>
          <w:rFonts w:hint="eastAsia" w:ascii="仿宋_GB2312" w:hAnsi="楷体_GB2312" w:eastAsia="仿宋_GB2312" w:cs="楷体_GB2312"/>
          <w:sz w:val="32"/>
          <w:szCs w:val="32"/>
        </w:rPr>
        <w:t>因</w:t>
      </w:r>
      <w:r>
        <w:rPr>
          <w:rFonts w:hint="eastAsia" w:ascii="仿宋_GB2312" w:hAnsi="宋体" w:eastAsia="仿宋_GB2312"/>
          <w:sz w:val="32"/>
          <w:szCs w:val="32"/>
        </w:rPr>
        <w:t>该项目资金计划下达较迟，资金结转173.86万元（其中29.19万元为政府采购资金），项目严格按照相关要求进行支付，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使用审批”、“预算执行”、“管理监督”三个环节，硬化了预算约束。</w:t>
      </w:r>
    </w:p>
    <w:p w14:paraId="18E932D0">
      <w:pPr>
        <w:pStyle w:val="20"/>
        <w:spacing w:line="560" w:lineRule="exact"/>
        <w:ind w:firstLine="640" w:firstLineChars="200"/>
        <w:rPr>
          <w:rFonts w:hint="eastAsia" w:ascii="仿宋_GB2312" w:eastAsia="仿宋_GB2312"/>
          <w:sz w:val="32"/>
          <w:szCs w:val="32"/>
        </w:rPr>
      </w:pPr>
      <w:r>
        <w:rPr>
          <w:rFonts w:hint="eastAsia" w:ascii="仿宋_GB2312" w:eastAsia="仿宋_GB2312"/>
          <w:kern w:val="2"/>
          <w:sz w:val="32"/>
          <w:szCs w:val="32"/>
        </w:rPr>
        <w:t>4.项目结果（7.2分）。</w:t>
      </w:r>
      <w:r>
        <w:rPr>
          <w:rFonts w:hint="eastAsia" w:ascii="仿宋_GB2312" w:eastAsia="仿宋_GB2312"/>
          <w:sz w:val="32"/>
          <w:szCs w:val="32"/>
        </w:rPr>
        <w:t>我支队在该项目下达资金计划之前申报了资金使用分配方案，细化量化了绩效目标各项指标，通过项目实施，强化了应急处置，增强公安机关战斗力，维护了民警执法权益，规范了执法流程，有力净化了交通秩序，全市交通安全形势总体平稳。</w:t>
      </w:r>
    </w:p>
    <w:p w14:paraId="5FA84E31">
      <w:pPr>
        <w:spacing w:line="560" w:lineRule="exact"/>
        <w:ind w:firstLine="643" w:firstLineChars="200"/>
        <w:rPr>
          <w:rFonts w:ascii="仿宋_GB2312" w:eastAsia="仿宋_GB2312"/>
          <w:sz w:val="32"/>
          <w:szCs w:val="32"/>
        </w:rPr>
      </w:pPr>
      <w:r>
        <w:rPr>
          <w:rFonts w:hint="eastAsia" w:ascii="仿宋_GB2312" w:hAnsi="宋体" w:eastAsia="仿宋_GB2312"/>
          <w:b/>
          <w:sz w:val="32"/>
          <w:szCs w:val="32"/>
        </w:rPr>
        <w:t>（二）专用指标</w:t>
      </w:r>
      <w:r>
        <w:rPr>
          <w:rFonts w:hint="eastAsia" w:ascii="仿宋_GB2312" w:eastAsia="仿宋_GB2312"/>
          <w:b/>
          <w:bCs/>
          <w:color w:val="000000"/>
          <w:kern w:val="0"/>
          <w:sz w:val="32"/>
          <w:szCs w:val="32"/>
          <w:shd w:val="clear" w:color="auto" w:fill="FFFFFF"/>
        </w:rPr>
        <w:t>绩效分析。</w:t>
      </w:r>
      <w:r>
        <w:rPr>
          <w:rFonts w:hint="eastAsia" w:ascii="仿宋_GB2312" w:eastAsia="仿宋_GB2312"/>
          <w:sz w:val="32"/>
          <w:szCs w:val="32"/>
        </w:rPr>
        <w:t>行政运转（30分）。该项目属行政运转类项目，通过项目实施，深化路面秩序专项整治，常态开展交通违法整治，有力的净化了交通秩序；项目</w:t>
      </w:r>
      <w:r>
        <w:rPr>
          <w:rFonts w:hint="eastAsia" w:ascii="仿宋_GB2312" w:hAnsi="楷体_GB2312" w:eastAsia="仿宋_GB2312" w:cs="楷体_GB2312"/>
          <w:sz w:val="32"/>
          <w:szCs w:val="32"/>
        </w:rPr>
        <w:t>资金用途合规，程序审批严密合规，不存在违规使用的情况。</w:t>
      </w:r>
    </w:p>
    <w:p w14:paraId="458BB3EA">
      <w:pPr>
        <w:adjustRightInd w:val="0"/>
        <w:snapToGrid w:val="0"/>
        <w:spacing w:line="560" w:lineRule="exact"/>
        <w:ind w:firstLine="643" w:firstLineChars="200"/>
        <w:rPr>
          <w:rFonts w:ascii="仿宋_GB2312" w:hAnsi="宋体" w:eastAsia="仿宋_GB2312" w:cs="宋体"/>
          <w:kern w:val="0"/>
          <w:sz w:val="32"/>
          <w:szCs w:val="32"/>
        </w:rPr>
      </w:pPr>
      <w:r>
        <w:rPr>
          <w:rFonts w:hint="eastAsia" w:ascii="仿宋_GB2312" w:hAnsi="宋体" w:eastAsia="仿宋_GB2312"/>
          <w:b/>
          <w:sz w:val="32"/>
          <w:szCs w:val="32"/>
        </w:rPr>
        <w:t>（三）个性指标</w:t>
      </w:r>
      <w:r>
        <w:rPr>
          <w:rFonts w:hint="eastAsia" w:ascii="仿宋_GB2312" w:eastAsia="仿宋_GB2312"/>
          <w:b/>
          <w:bCs/>
          <w:kern w:val="0"/>
          <w:sz w:val="32"/>
          <w:szCs w:val="32"/>
          <w:shd w:val="clear" w:color="auto" w:fill="FFFFFF"/>
        </w:rPr>
        <w:t>绩效分析（15分）。</w:t>
      </w:r>
      <w:r>
        <w:rPr>
          <w:rFonts w:hint="eastAsia" w:ascii="仿宋_GB2312" w:eastAsia="仿宋_GB2312"/>
          <w:kern w:val="0"/>
          <w:sz w:val="32"/>
          <w:szCs w:val="32"/>
          <w:shd w:val="clear" w:color="auto" w:fill="FFFFFF"/>
        </w:rPr>
        <w:t>通过项目实施，持续</w:t>
      </w:r>
      <w:r>
        <w:rPr>
          <w:rFonts w:hint="eastAsia" w:ascii="仿宋_GB2312" w:eastAsia="仿宋_GB2312"/>
          <w:sz w:val="32"/>
          <w:szCs w:val="32"/>
        </w:rPr>
        <w:t>深化路面秩序专项整治，常态开展交通违法整治，净化了交通秩序，提高了路面民警卡口管控、处理交通事故、突发事件的能力，增强了群众安全感。</w:t>
      </w:r>
    </w:p>
    <w:p w14:paraId="08007220">
      <w:pPr>
        <w:pStyle w:val="5"/>
        <w:spacing w:line="560" w:lineRule="exact"/>
        <w:ind w:firstLine="640" w:firstLineChars="200"/>
        <w:rPr>
          <w:rFonts w:ascii="黑体" w:hAnsi="黑体" w:eastAsia="黑体"/>
          <w:kern w:val="0"/>
          <w:sz w:val="32"/>
          <w:szCs w:val="32"/>
        </w:rPr>
      </w:pPr>
      <w:r>
        <w:rPr>
          <w:rFonts w:hint="eastAsia" w:ascii="黑体" w:hAnsi="黑体" w:eastAsia="黑体"/>
          <w:sz w:val="32"/>
          <w:szCs w:val="32"/>
        </w:rPr>
        <w:t>四、评价结论</w:t>
      </w:r>
    </w:p>
    <w:p w14:paraId="629E7AEE">
      <w:pPr>
        <w:adjustRightInd w:val="0"/>
        <w:snapToGrid w:val="0"/>
        <w:spacing w:line="560" w:lineRule="exact"/>
        <w:ind w:left="142" w:firstLine="640" w:firstLineChars="200"/>
        <w:rPr>
          <w:rFonts w:ascii="仿宋_GB2312" w:hAnsi="Times New Roman" w:eastAsia="仿宋_GB2312"/>
          <w:sz w:val="32"/>
          <w:szCs w:val="32"/>
        </w:rPr>
      </w:pPr>
      <w:r>
        <w:rPr>
          <w:rFonts w:hint="eastAsia" w:ascii="仿宋_GB2312" w:eastAsia="仿宋_GB2312"/>
          <w:sz w:val="32"/>
          <w:szCs w:val="32"/>
        </w:rPr>
        <w:t>从评价情况来看，该项目得分97.2分。项目的预算资金管理科学合理，使用规范，完成了项目的既定目标，达到了预期使用效果。</w:t>
      </w:r>
    </w:p>
    <w:p w14:paraId="12C4E5DE">
      <w:pPr>
        <w:pStyle w:val="5"/>
        <w:spacing w:line="560"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14:paraId="6D3B43CE">
      <w:pPr>
        <w:adjustRightInd w:val="0"/>
        <w:snapToGrid w:val="0"/>
        <w:spacing w:line="560" w:lineRule="exact"/>
        <w:ind w:firstLine="640" w:firstLineChars="200"/>
        <w:contextualSpacing/>
        <w:rPr>
          <w:rFonts w:ascii="仿宋_GB2312" w:hAnsi="Times New Roman" w:eastAsia="仿宋_GB2312"/>
          <w:kern w:val="0"/>
          <w:sz w:val="32"/>
          <w:szCs w:val="32"/>
          <w:shd w:val="clear" w:color="auto" w:fill="FFFFFF"/>
        </w:rPr>
      </w:pPr>
      <w:r>
        <w:rPr>
          <w:rFonts w:hint="eastAsia" w:ascii="仿宋_GB2312" w:eastAsia="仿宋_GB2312"/>
          <w:kern w:val="0"/>
          <w:sz w:val="32"/>
          <w:szCs w:val="32"/>
          <w:shd w:val="clear" w:color="auto" w:fill="FFFFFF"/>
        </w:rPr>
        <w:t>资金计划下达时间较迟，影响工作进程，导致部分资金未在当年进行支付而结转至下年。</w:t>
      </w:r>
    </w:p>
    <w:p w14:paraId="3B0F9882">
      <w:pPr>
        <w:pStyle w:val="5"/>
        <w:spacing w:line="560" w:lineRule="exact"/>
        <w:ind w:firstLine="640" w:firstLineChars="200"/>
        <w:rPr>
          <w:rFonts w:ascii="黑体" w:hAnsi="黑体" w:eastAsia="黑体"/>
          <w:kern w:val="0"/>
          <w:sz w:val="32"/>
          <w:szCs w:val="32"/>
        </w:rPr>
      </w:pPr>
      <w:r>
        <w:rPr>
          <w:rFonts w:hint="eastAsia" w:ascii="黑体" w:hAnsi="黑体" w:eastAsia="黑体"/>
          <w:sz w:val="32"/>
          <w:szCs w:val="32"/>
        </w:rPr>
        <w:t>六、改进建议</w:t>
      </w:r>
    </w:p>
    <w:p w14:paraId="5FC093B7">
      <w:pPr>
        <w:spacing w:line="560" w:lineRule="exact"/>
        <w:jc w:val="left"/>
        <w:rPr>
          <w:rFonts w:ascii="仿宋_GB2312" w:hAnsi="Times New Roman" w:eastAsia="仿宋_GB2312"/>
          <w:kern w:val="0"/>
          <w:sz w:val="32"/>
          <w:szCs w:val="32"/>
        </w:rPr>
      </w:pPr>
      <w:r>
        <w:rPr>
          <w:rFonts w:hint="eastAsia" w:ascii="仿宋_GB2312" w:eastAsia="仿宋_GB2312"/>
          <w:kern w:val="0"/>
          <w:sz w:val="32"/>
          <w:szCs w:val="32"/>
          <w:shd w:val="clear" w:color="auto" w:fill="FFFFFF"/>
        </w:rPr>
        <w:t xml:space="preserve"> </w:t>
      </w:r>
      <w:r>
        <w:rPr>
          <w:rFonts w:hint="eastAsia" w:ascii="仿宋_GB2312" w:eastAsia="仿宋_GB2312"/>
          <w:kern w:val="0"/>
          <w:sz w:val="32"/>
          <w:szCs w:val="32"/>
        </w:rPr>
        <w:t xml:space="preserve">   无。</w:t>
      </w:r>
    </w:p>
    <w:p w14:paraId="54305050">
      <w:pPr>
        <w:snapToGrid w:val="0"/>
        <w:spacing w:line="560" w:lineRule="exact"/>
        <w:ind w:firstLine="640" w:firstLineChars="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 xml:space="preserve"> </w:t>
      </w:r>
    </w:p>
    <w:p w14:paraId="4F884A13">
      <w:pPr>
        <w:spacing w:line="560" w:lineRule="exact"/>
        <w:ind w:firstLine="3200" w:firstLineChars="1000"/>
        <w:rPr>
          <w:rFonts w:ascii="仿宋_GB2312" w:eastAsia="仿宋_GB2312"/>
          <w:sz w:val="32"/>
          <w:szCs w:val="32"/>
        </w:rPr>
      </w:pPr>
    </w:p>
    <w:p w14:paraId="5E320A2A">
      <w:pPr>
        <w:spacing w:line="560" w:lineRule="exact"/>
        <w:ind w:firstLine="3200" w:firstLineChars="1000"/>
        <w:rPr>
          <w:rFonts w:ascii="仿宋_GB2312" w:eastAsia="仿宋_GB2312"/>
          <w:sz w:val="32"/>
          <w:szCs w:val="32"/>
        </w:rPr>
      </w:pPr>
      <w:r>
        <w:rPr>
          <w:rFonts w:hint="eastAsia" w:ascii="仿宋_GB2312" w:eastAsia="仿宋_GB2312"/>
          <w:sz w:val="32"/>
          <w:szCs w:val="32"/>
        </w:rPr>
        <w:t xml:space="preserve"> </w:t>
      </w:r>
    </w:p>
    <w:p w14:paraId="1C450EB1">
      <w:pPr>
        <w:spacing w:line="560" w:lineRule="exact"/>
        <w:rPr>
          <w:rFonts w:hint="eastAsia" w:ascii="仿宋_GB2312" w:eastAsia="仿宋_GB2312"/>
          <w:sz w:val="32"/>
          <w:szCs w:val="32"/>
        </w:rPr>
      </w:pPr>
    </w:p>
    <w:p w14:paraId="7986A4DD">
      <w:pPr>
        <w:pStyle w:val="2"/>
        <w:rPr>
          <w:rFonts w:hint="eastAsia"/>
        </w:rPr>
      </w:pPr>
    </w:p>
    <w:p w14:paraId="0A0E70C5">
      <w:pPr>
        <w:spacing w:line="560" w:lineRule="exact"/>
        <w:ind w:firstLine="640" w:firstLineChars="200"/>
        <w:rPr>
          <w:rFonts w:ascii="仿宋_GB2312" w:eastAsia="仿宋_GB2312"/>
          <w:sz w:val="32"/>
          <w:szCs w:val="32"/>
        </w:rPr>
      </w:pPr>
    </w:p>
    <w:p w14:paraId="24EE5B62">
      <w:pPr>
        <w:pStyle w:val="20"/>
        <w:spacing w:line="560" w:lineRule="exact"/>
        <w:jc w:val="center"/>
        <w:rPr>
          <w:rFonts w:ascii="黑体" w:hAnsi="黑体" w:eastAsia="黑体"/>
          <w:kern w:val="2"/>
          <w:sz w:val="44"/>
          <w:szCs w:val="44"/>
        </w:rPr>
      </w:pPr>
      <w:r>
        <w:rPr>
          <w:rFonts w:hint="eastAsia" w:ascii="黑体" w:hAnsi="黑体" w:eastAsia="黑体"/>
          <w:kern w:val="2"/>
          <w:sz w:val="44"/>
          <w:szCs w:val="44"/>
        </w:rPr>
        <w:t>广元市公安局交通警察支队</w:t>
      </w:r>
    </w:p>
    <w:p w14:paraId="647A3D57">
      <w:pPr>
        <w:pStyle w:val="20"/>
        <w:spacing w:line="560" w:lineRule="exact"/>
        <w:jc w:val="center"/>
        <w:rPr>
          <w:rFonts w:ascii="黑体" w:hAnsi="黑体" w:eastAsia="黑体"/>
          <w:kern w:val="2"/>
          <w:sz w:val="44"/>
          <w:szCs w:val="44"/>
        </w:rPr>
      </w:pPr>
      <w:r>
        <w:rPr>
          <w:rFonts w:hint="eastAsia" w:ascii="黑体" w:hAnsi="黑体" w:eastAsia="黑体"/>
          <w:kern w:val="2"/>
          <w:sz w:val="44"/>
          <w:szCs w:val="44"/>
        </w:rPr>
        <w:t>2024年城区交通管理设施建设与维护</w:t>
      </w:r>
    </w:p>
    <w:p w14:paraId="568D963F">
      <w:pPr>
        <w:pStyle w:val="20"/>
        <w:spacing w:line="560" w:lineRule="exact"/>
        <w:jc w:val="center"/>
        <w:rPr>
          <w:rFonts w:ascii="黑体" w:hAnsi="黑体" w:eastAsia="黑体"/>
          <w:kern w:val="2"/>
          <w:sz w:val="44"/>
          <w:szCs w:val="44"/>
        </w:rPr>
      </w:pPr>
      <w:r>
        <w:rPr>
          <w:rFonts w:hint="eastAsia" w:ascii="黑体" w:hAnsi="黑体" w:eastAsia="黑体"/>
          <w:kern w:val="2"/>
          <w:sz w:val="44"/>
          <w:szCs w:val="44"/>
        </w:rPr>
        <w:t>项目绩效评价报告</w:t>
      </w:r>
    </w:p>
    <w:p w14:paraId="203ED794">
      <w:pPr>
        <w:pStyle w:val="20"/>
        <w:spacing w:line="560" w:lineRule="exact"/>
        <w:ind w:firstLine="640"/>
        <w:jc w:val="center"/>
        <w:rPr>
          <w:rFonts w:ascii="仿宋_GB2312" w:hAnsi="宋体" w:eastAsia="仿宋_GB2312"/>
          <w:kern w:val="2"/>
          <w:sz w:val="32"/>
          <w:szCs w:val="32"/>
        </w:rPr>
      </w:pPr>
    </w:p>
    <w:p w14:paraId="0E66C91F">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一、项目概况</w:t>
      </w:r>
    </w:p>
    <w:p w14:paraId="680236B2">
      <w:pPr>
        <w:autoSpaceDE w:val="0"/>
        <w:adjustRightInd w:val="0"/>
        <w:snapToGrid w:val="0"/>
        <w:spacing w:line="560" w:lineRule="exact"/>
        <w:ind w:firstLine="643" w:firstLineChars="200"/>
        <w:contextualSpacing/>
        <w:rPr>
          <w:rFonts w:ascii="仿宋_GB2312" w:hAnsi="Times New Roman" w:eastAsia="仿宋_GB2312"/>
          <w:kern w:val="0"/>
          <w:sz w:val="32"/>
          <w:szCs w:val="32"/>
          <w:shd w:val="clear" w:color="auto" w:fill="FFFFFF"/>
        </w:rPr>
      </w:pPr>
      <w:r>
        <w:rPr>
          <w:rFonts w:hint="eastAsia" w:ascii="仿宋_GB2312" w:hAnsi="宋体" w:eastAsia="仿宋_GB2312"/>
          <w:b/>
          <w:sz w:val="32"/>
          <w:szCs w:val="32"/>
        </w:rPr>
        <w:t>（一）设立背景及基本情况。</w:t>
      </w:r>
      <w:r>
        <w:rPr>
          <w:rFonts w:hint="eastAsia" w:ascii="仿宋_GB2312" w:hAnsi="宋体" w:eastAsia="仿宋_GB2312"/>
          <w:sz w:val="32"/>
          <w:szCs w:val="32"/>
        </w:rPr>
        <w:t>我支队负责市城区交通安全设施建设与维护项目的统筹安排、组织规划、资金落实、日常监管以及整改验收</w:t>
      </w:r>
      <w:r>
        <w:rPr>
          <w:rFonts w:hint="eastAsia" w:ascii="仿宋_GB2312" w:eastAsia="仿宋_GB2312"/>
          <w:sz w:val="32"/>
          <w:szCs w:val="32"/>
        </w:rPr>
        <w:t>。</w:t>
      </w:r>
      <w:r>
        <w:rPr>
          <w:rFonts w:hint="eastAsia" w:ascii="仿宋_GB2312" w:hAnsi="宋体" w:eastAsia="仿宋_GB2312"/>
          <w:sz w:val="32"/>
          <w:szCs w:val="32"/>
        </w:rPr>
        <w:t>为营造更加畅通有序的交通环境，基于目前智慧城市建设的大背景，亟需开展全市智慧交通管理体系建设，提升全市交通管理的系统性、精准性和实时性；依据《关于规范推进公安视频图像智能应用建设的通知》（公科信</w:t>
      </w:r>
      <w:r>
        <w:rPr>
          <w:rFonts w:hint="eastAsia" w:ascii="微软雅黑" w:hAnsi="微软雅黑" w:eastAsia="微软雅黑" w:cs="微软雅黑"/>
          <w:sz w:val="32"/>
          <w:szCs w:val="32"/>
        </w:rPr>
        <w:t>﹝</w:t>
      </w:r>
      <w:r>
        <w:rPr>
          <w:rFonts w:hint="eastAsia" w:ascii="仿宋_GB2312" w:hAnsi="宋体" w:eastAsia="仿宋_GB2312"/>
          <w:sz w:val="32"/>
          <w:szCs w:val="32"/>
        </w:rPr>
        <w:t>2019</w:t>
      </w:r>
      <w:r>
        <w:rPr>
          <w:rFonts w:hint="eastAsia" w:ascii="微软雅黑" w:hAnsi="微软雅黑" w:eastAsia="微软雅黑" w:cs="微软雅黑"/>
          <w:sz w:val="32"/>
          <w:szCs w:val="32"/>
        </w:rPr>
        <w:t>﹞</w:t>
      </w:r>
      <w:r>
        <w:rPr>
          <w:rFonts w:hint="eastAsia" w:ascii="仿宋_GB2312" w:hAnsi="宋体" w:eastAsia="仿宋_GB2312"/>
          <w:sz w:val="32"/>
          <w:szCs w:val="32"/>
        </w:rPr>
        <w:t>36号）、《广元市加快新型智慧城市建设实施方案》，</w:t>
      </w:r>
      <w:r>
        <w:rPr>
          <w:rFonts w:hint="eastAsia" w:ascii="仿宋_GB2312" w:eastAsia="仿宋_GB2312"/>
          <w:kern w:val="0"/>
          <w:sz w:val="32"/>
          <w:szCs w:val="32"/>
          <w:shd w:val="clear" w:color="auto" w:fill="FFFFFF"/>
        </w:rPr>
        <w:t>完善和更新城区道路标志标线等交通管理设施设备，对信号灯、信号灯配件及护栏维护，线路租赁与改造,提高市城区主干道路通行能力。</w:t>
      </w:r>
    </w:p>
    <w:p w14:paraId="27C4C3E3">
      <w:pPr>
        <w:autoSpaceDE w:val="0"/>
        <w:adjustRightInd w:val="0"/>
        <w:snapToGrid w:val="0"/>
        <w:spacing w:line="560" w:lineRule="exact"/>
        <w:ind w:firstLine="643" w:firstLineChars="200"/>
        <w:rPr>
          <w:rFonts w:ascii="仿宋_GB2312" w:hAnsi="宋体" w:eastAsia="仿宋_GB2312" w:cs="宋体"/>
          <w:kern w:val="0"/>
          <w:sz w:val="32"/>
          <w:szCs w:val="32"/>
        </w:rPr>
      </w:pPr>
      <w:r>
        <w:rPr>
          <w:rFonts w:hint="eastAsia" w:ascii="仿宋_GB2312" w:hAnsi="宋体" w:eastAsia="仿宋_GB2312"/>
          <w:b/>
          <w:sz w:val="32"/>
          <w:szCs w:val="32"/>
        </w:rPr>
        <w:t>（二）实施目的及支持方向。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通过完善标线、新增及改造交通信号灯等设施，旨在提高道路行车安全，增强城区主干道路通行能力，降低道路交通违法行为的发生</w:t>
      </w:r>
      <w:r>
        <w:rPr>
          <w:rFonts w:hint="eastAsia" w:ascii="仿宋_GB2312" w:eastAsia="仿宋_GB2312"/>
          <w:kern w:val="0"/>
          <w:sz w:val="32"/>
          <w:szCs w:val="32"/>
          <w:shd w:val="clear" w:color="auto" w:fill="FFFFFF"/>
        </w:rPr>
        <w:t>。</w:t>
      </w:r>
    </w:p>
    <w:p w14:paraId="2E03B93A">
      <w:pPr>
        <w:autoSpaceDE w:val="0"/>
        <w:adjustRightInd w:val="0"/>
        <w:snapToGrid w:val="0"/>
        <w:spacing w:line="560" w:lineRule="exact"/>
        <w:ind w:firstLine="720"/>
        <w:rPr>
          <w:rFonts w:ascii="仿宋_GB2312" w:hAnsi="宋体" w:eastAsia="仿宋_GB2312"/>
          <w:sz w:val="32"/>
          <w:szCs w:val="32"/>
        </w:rPr>
      </w:pPr>
      <w:r>
        <w:rPr>
          <w:rFonts w:hint="eastAsia" w:ascii="仿宋_GB2312" w:hAnsi="宋体" w:eastAsia="仿宋_GB2312"/>
          <w:b/>
          <w:sz w:val="32"/>
          <w:szCs w:val="32"/>
        </w:rPr>
        <w:t>（三）预算安排及分配管理。</w:t>
      </w:r>
      <w:r>
        <w:rPr>
          <w:rFonts w:hint="eastAsia" w:ascii="仿宋_GB2312" w:eastAsia="仿宋_GB2312"/>
          <w:kern w:val="0"/>
          <w:sz w:val="32"/>
          <w:szCs w:val="32"/>
          <w:shd w:val="clear" w:color="auto" w:fill="FFFFFF"/>
        </w:rPr>
        <w:t>项目预算234万元，</w:t>
      </w:r>
      <w:r>
        <w:rPr>
          <w:rFonts w:hint="eastAsia" w:ascii="仿宋_GB2312" w:hAnsi="宋体" w:eastAsia="仿宋_GB2312"/>
          <w:sz w:val="32"/>
          <w:szCs w:val="32"/>
        </w:rPr>
        <w:t>资金分配首先考虑保证所有交通管理设施能够正常运转的维护、维修和线路租金等必须费用支出，再考虑一些必建的标线、监控和护栏等设施费用。</w:t>
      </w:r>
    </w:p>
    <w:p w14:paraId="0E679D71">
      <w:pPr>
        <w:autoSpaceDE w:val="0"/>
        <w:adjustRightInd w:val="0"/>
        <w:snapToGrid w:val="0"/>
        <w:spacing w:line="560" w:lineRule="exact"/>
        <w:ind w:firstLine="720"/>
        <w:rPr>
          <w:rFonts w:ascii="仿宋_GB2312" w:hAnsi="Times New Roman" w:eastAsia="仿宋_GB2312"/>
          <w:sz w:val="32"/>
          <w:szCs w:val="32"/>
        </w:rPr>
      </w:pPr>
      <w:r>
        <w:rPr>
          <w:rFonts w:hint="eastAsia" w:ascii="仿宋_GB2312" w:hAnsi="宋体" w:eastAsia="仿宋_GB2312"/>
          <w:b/>
          <w:sz w:val="32"/>
          <w:szCs w:val="32"/>
        </w:rPr>
        <w:t>（四）项目绩效目标设置。</w:t>
      </w:r>
      <w:r>
        <w:rPr>
          <w:rFonts w:hint="eastAsia" w:ascii="仿宋_GB2312" w:eastAsia="仿宋_GB2312"/>
          <w:sz w:val="32"/>
          <w:szCs w:val="32"/>
        </w:rPr>
        <w:t>2024年，根据预算绩效管理要求，在年初预算编制阶段，能够科学、合理的设置绩效目标，充分考虑项目的差异性，使绩效目标内容完整，细化量化，可操作性强，与预算匹配。成立了以支队长任组长的项目自评领导小组，下设办公室具体负责自评工作，采取调阅资料、现场查看等方式开展自评工作。</w:t>
      </w:r>
    </w:p>
    <w:p w14:paraId="591D4434">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二、评价实施</w:t>
      </w:r>
    </w:p>
    <w:p w14:paraId="52105CFB">
      <w:pPr>
        <w:autoSpaceDE w:val="0"/>
        <w:spacing w:line="560" w:lineRule="exact"/>
        <w:ind w:firstLine="640"/>
        <w:rPr>
          <w:rFonts w:ascii="仿宋_GB2312" w:hAnsi="Times New Roman" w:eastAsia="仿宋_GB2312"/>
          <w:sz w:val="32"/>
          <w:szCs w:val="32"/>
        </w:rPr>
      </w:pPr>
      <w:r>
        <w:rPr>
          <w:rFonts w:hint="eastAsia" w:ascii="仿宋_GB2312" w:hAnsi="宋体" w:eastAsia="仿宋_GB2312"/>
          <w:b/>
          <w:sz w:val="32"/>
          <w:szCs w:val="32"/>
        </w:rPr>
        <w:t>（一）评价目的。</w:t>
      </w:r>
      <w:r>
        <w:rPr>
          <w:rFonts w:hint="eastAsia" w:ascii="仿宋_GB2312" w:eastAsia="仿宋_GB2312"/>
          <w:sz w:val="32"/>
          <w:szCs w:val="32"/>
        </w:rPr>
        <w:t>通过项目绩效自评，主要结合资金使用情况，查看项目资金发挥的效益情况，是否实现年初绩效目标。</w:t>
      </w:r>
    </w:p>
    <w:p w14:paraId="34572C4F">
      <w:pPr>
        <w:autoSpaceDE w:val="0"/>
        <w:adjustRightInd w:val="0"/>
        <w:snapToGrid w:val="0"/>
        <w:spacing w:line="560" w:lineRule="exact"/>
        <w:ind w:firstLine="643" w:firstLineChars="200"/>
        <w:rPr>
          <w:rFonts w:ascii="仿宋_GB2312" w:eastAsia="仿宋_GB2312"/>
          <w:sz w:val="32"/>
          <w:szCs w:val="32"/>
        </w:rPr>
      </w:pPr>
      <w:r>
        <w:rPr>
          <w:rFonts w:hint="eastAsia" w:ascii="仿宋_GB2312" w:hAnsi="宋体" w:eastAsia="仿宋_GB2312"/>
          <w:b/>
          <w:sz w:val="32"/>
          <w:szCs w:val="32"/>
        </w:rPr>
        <w:t>（二）预设问题及评价重点。</w:t>
      </w:r>
      <w:r>
        <w:rPr>
          <w:rFonts w:hint="eastAsia" w:ascii="仿宋_GB2312" w:hAnsi="宋体" w:eastAsia="仿宋_GB2312"/>
          <w:sz w:val="32"/>
          <w:szCs w:val="32"/>
        </w:rPr>
        <w:t>预设问题为采购项目是否严格按照相求要求应采尽采；评价重点在于是否</w:t>
      </w:r>
      <w:r>
        <w:rPr>
          <w:rFonts w:hint="eastAsia" w:ascii="仿宋_GB2312" w:hAnsi="宋体" w:eastAsia="仿宋_GB2312" w:cs="宋体"/>
          <w:kern w:val="0"/>
          <w:sz w:val="32"/>
          <w:szCs w:val="32"/>
        </w:rPr>
        <w:t>提高了道路行车安全，增强城区主干道路通行能力。</w:t>
      </w:r>
    </w:p>
    <w:p w14:paraId="03520CB5">
      <w:pPr>
        <w:autoSpaceDE w:val="0"/>
        <w:adjustRightInd w:val="0"/>
        <w:snapToGrid w:val="0"/>
        <w:spacing w:line="560" w:lineRule="exact"/>
        <w:ind w:firstLine="643" w:firstLineChars="200"/>
        <w:rPr>
          <w:rFonts w:ascii="仿宋_GB2312" w:eastAsia="仿宋_GB2312"/>
          <w:sz w:val="32"/>
          <w:szCs w:val="32"/>
        </w:rPr>
      </w:pPr>
      <w:r>
        <w:rPr>
          <w:rFonts w:hint="eastAsia" w:ascii="仿宋_GB2312" w:hAnsi="宋体" w:eastAsia="仿宋_GB2312"/>
          <w:b/>
          <w:sz w:val="32"/>
          <w:szCs w:val="32"/>
        </w:rPr>
        <w:t>（三）评价选点。</w:t>
      </w:r>
      <w:r>
        <w:rPr>
          <w:rFonts w:hint="eastAsia" w:ascii="仿宋_GB2312" w:eastAsia="仿宋_GB2312"/>
          <w:sz w:val="32"/>
          <w:szCs w:val="32"/>
        </w:rPr>
        <w:t>通过选取信号灯链路、标牌等制作情况，查看项目效益情况。</w:t>
      </w:r>
    </w:p>
    <w:p w14:paraId="3658AF84">
      <w:pPr>
        <w:autoSpaceDE w:val="0"/>
        <w:adjustRightInd w:val="0"/>
        <w:snapToGrid w:val="0"/>
        <w:spacing w:line="560" w:lineRule="exact"/>
        <w:ind w:firstLine="720"/>
        <w:rPr>
          <w:rFonts w:ascii="仿宋_GB2312" w:eastAsia="仿宋_GB2312"/>
          <w:sz w:val="32"/>
          <w:szCs w:val="32"/>
        </w:rPr>
      </w:pPr>
      <w:r>
        <w:rPr>
          <w:rFonts w:hint="eastAsia" w:ascii="仿宋_GB2312" w:hAnsi="宋体" w:eastAsia="仿宋_GB2312"/>
          <w:b/>
          <w:sz w:val="32"/>
          <w:szCs w:val="32"/>
        </w:rPr>
        <w:t>（四）评价方法。</w:t>
      </w:r>
      <w:r>
        <w:rPr>
          <w:rFonts w:hint="eastAsia" w:ascii="仿宋_GB2312" w:eastAsia="仿宋_GB2312"/>
          <w:sz w:val="32"/>
          <w:szCs w:val="32"/>
        </w:rPr>
        <w:t>该项目采取了实地勘察的方式开展自评工作。</w:t>
      </w:r>
    </w:p>
    <w:p w14:paraId="04D823E1">
      <w:pPr>
        <w:autoSpaceDE w:val="0"/>
        <w:adjustRightInd w:val="0"/>
        <w:snapToGrid w:val="0"/>
        <w:spacing w:line="560" w:lineRule="exact"/>
        <w:ind w:firstLine="720"/>
        <w:rPr>
          <w:rFonts w:ascii="仿宋_GB2312" w:eastAsia="仿宋_GB2312"/>
          <w:bCs/>
          <w:sz w:val="32"/>
          <w:szCs w:val="32"/>
        </w:rPr>
      </w:pPr>
      <w:r>
        <w:rPr>
          <w:rFonts w:hint="eastAsia" w:ascii="仿宋_GB2312" w:hAnsi="宋体" w:eastAsia="仿宋_GB2312"/>
          <w:b/>
          <w:sz w:val="32"/>
          <w:szCs w:val="32"/>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14:paraId="10A4058D">
      <w:pPr>
        <w:autoSpaceDE w:val="0"/>
        <w:spacing w:line="560" w:lineRule="exact"/>
        <w:ind w:firstLine="640"/>
        <w:rPr>
          <w:rFonts w:ascii="黑体" w:hAnsi="黑体" w:eastAsia="黑体"/>
          <w:sz w:val="32"/>
          <w:szCs w:val="32"/>
        </w:rPr>
      </w:pPr>
      <w:r>
        <w:rPr>
          <w:rFonts w:hint="eastAsia" w:ascii="黑体" w:hAnsi="黑体" w:eastAsia="黑体"/>
          <w:sz w:val="32"/>
          <w:szCs w:val="32"/>
        </w:rPr>
        <w:t>三、绩效分析</w:t>
      </w:r>
      <w:r>
        <w:rPr>
          <w:rFonts w:hint="eastAsia" w:ascii="黑体" w:hAnsi="黑体" w:eastAsia="黑体"/>
          <w:sz w:val="32"/>
          <w:szCs w:val="32"/>
        </w:rPr>
        <w:tab/>
      </w:r>
    </w:p>
    <w:p w14:paraId="73DF2469">
      <w:pPr>
        <w:autoSpaceDE w:val="0"/>
        <w:spacing w:line="560" w:lineRule="exact"/>
        <w:ind w:firstLine="640"/>
        <w:rPr>
          <w:rFonts w:ascii="仿宋_GB2312" w:hAnsi="宋体" w:eastAsia="仿宋_GB2312"/>
          <w:b/>
          <w:sz w:val="32"/>
          <w:szCs w:val="32"/>
        </w:rPr>
      </w:pPr>
      <w:r>
        <w:rPr>
          <w:rFonts w:hint="eastAsia" w:ascii="仿宋_GB2312" w:hAnsi="宋体" w:eastAsia="仿宋_GB2312"/>
          <w:b/>
          <w:sz w:val="32"/>
          <w:szCs w:val="32"/>
        </w:rPr>
        <w:t>（一）通用指标</w:t>
      </w:r>
      <w:r>
        <w:rPr>
          <w:rFonts w:hint="eastAsia" w:ascii="仿宋_GB2312" w:eastAsia="仿宋_GB2312"/>
          <w:b/>
          <w:bCs/>
          <w:color w:val="000000"/>
          <w:kern w:val="0"/>
          <w:sz w:val="32"/>
          <w:szCs w:val="32"/>
          <w:shd w:val="clear" w:color="auto" w:fill="FFFFFF"/>
        </w:rPr>
        <w:t>绩效分析。</w:t>
      </w:r>
    </w:p>
    <w:p w14:paraId="7F3BAAD5">
      <w:pPr>
        <w:autoSpaceDE w:val="0"/>
        <w:spacing w:line="560" w:lineRule="exact"/>
        <w:ind w:firstLine="640"/>
        <w:rPr>
          <w:rFonts w:ascii="仿宋_GB2312" w:hAnsi="楷体" w:eastAsia="仿宋_GB2312"/>
          <w:sz w:val="32"/>
          <w:szCs w:val="32"/>
        </w:rPr>
      </w:pPr>
      <w:r>
        <w:rPr>
          <w:rFonts w:hint="eastAsia" w:ascii="仿宋_GB2312" w:eastAsia="仿宋_GB2312"/>
          <w:sz w:val="32"/>
          <w:szCs w:val="32"/>
        </w:rPr>
        <w:t>1.项目决策（18分）。</w:t>
      </w:r>
      <w:r>
        <w:rPr>
          <w:rFonts w:hint="eastAsia" w:ascii="仿宋_GB2312" w:hAnsi="楷体" w:eastAsia="仿宋_GB2312"/>
          <w:sz w:val="32"/>
          <w:szCs w:val="32"/>
        </w:rPr>
        <w:t>该项目由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14:paraId="39681C69">
      <w:pPr>
        <w:autoSpaceDE w:val="0"/>
        <w:spacing w:line="560" w:lineRule="exact"/>
        <w:ind w:firstLine="640" w:firstLineChars="200"/>
        <w:rPr>
          <w:rFonts w:ascii="仿宋_GB2312" w:hAnsi="Times New Roman" w:eastAsia="仿宋_GB2312"/>
          <w:sz w:val="32"/>
          <w:szCs w:val="32"/>
        </w:rPr>
      </w:pPr>
      <w:r>
        <w:rPr>
          <w:rFonts w:hint="eastAsia" w:ascii="仿宋_GB2312" w:eastAsia="仿宋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w:t>
      </w:r>
      <w:r>
        <w:rPr>
          <w:rFonts w:hint="eastAsia" w:ascii="仿宋_GB2312" w:eastAsia="仿宋_GB2312"/>
          <w:sz w:val="32"/>
          <w:szCs w:val="32"/>
        </w:rPr>
        <w:t>严格遵照《中华人民共和国招投标法》，凡达到政府采购标准的，全部进行公开招标和采购。确保支队项目规范采购，按期优质完成；同时，还安排了具体人员负责技术指导和监督，按照标准和合同，严把质量关、进度关，确保项目按期进行和达到预期目标。</w:t>
      </w:r>
    </w:p>
    <w:p w14:paraId="4261FDEB">
      <w:pPr>
        <w:autoSpaceDE w:val="0"/>
        <w:spacing w:line="560" w:lineRule="exact"/>
        <w:ind w:firstLine="640" w:firstLineChars="200"/>
        <w:rPr>
          <w:rFonts w:ascii="仿宋_GB2312" w:eastAsia="仿宋_GB2312"/>
          <w:sz w:val="32"/>
          <w:szCs w:val="32"/>
        </w:rPr>
      </w:pPr>
      <w:r>
        <w:rPr>
          <w:rFonts w:hint="eastAsia" w:ascii="仿宋_GB2312" w:eastAsia="仿宋_GB2312"/>
          <w:sz w:val="32"/>
          <w:szCs w:val="32"/>
        </w:rPr>
        <w:t>3.项目实施（9分）。</w:t>
      </w:r>
      <w:r>
        <w:rPr>
          <w:rFonts w:hint="eastAsia" w:ascii="仿宋_GB2312" w:hAnsi="楷体_GB2312" w:eastAsia="仿宋_GB2312" w:cs="楷体_GB2312"/>
          <w:sz w:val="32"/>
          <w:szCs w:val="32"/>
        </w:rPr>
        <w:t>因</w:t>
      </w:r>
      <w:r>
        <w:rPr>
          <w:rFonts w:hint="eastAsia" w:ascii="仿宋_GB2312" w:hAnsi="宋体" w:eastAsia="仿宋_GB2312"/>
          <w:sz w:val="32"/>
          <w:szCs w:val="32"/>
        </w:rPr>
        <w:t>该项目资金计划与12月底下达，资金结转108.38万元（其中97.51万元为政府采购资金），项目正在实施中，支队严格按照进度支付资金，</w:t>
      </w:r>
      <w:r>
        <w:rPr>
          <w:rFonts w:hint="eastAsia" w:ascii="仿宋_GB2312" w:hAnsi="宋体" w:eastAsia="仿宋_GB2312" w:cs="宋体"/>
          <w:kern w:val="0"/>
          <w:sz w:val="32"/>
          <w:szCs w:val="32"/>
        </w:rPr>
        <w:t>狠抓了经费“</w:t>
      </w:r>
      <w:r>
        <w:rPr>
          <w:rFonts w:hint="eastAsia" w:ascii="仿宋_GB2312" w:eastAsia="仿宋_GB2312"/>
          <w:sz w:val="32"/>
          <w:szCs w:val="32"/>
        </w:rPr>
        <w:t>使用审批”、“预算执行”、“管理监督”三个环节，硬化了预算约束。</w:t>
      </w:r>
    </w:p>
    <w:p w14:paraId="102CD68E">
      <w:pPr>
        <w:autoSpaceDE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4.项目结果（8.1分）。</w:t>
      </w:r>
      <w:r>
        <w:rPr>
          <w:rFonts w:hint="eastAsia" w:ascii="仿宋_GB2312" w:eastAsia="仿宋_GB2312"/>
          <w:kern w:val="0"/>
          <w:sz w:val="32"/>
          <w:szCs w:val="32"/>
          <w:shd w:val="clear" w:color="auto" w:fill="FFFFFF"/>
        </w:rPr>
        <w:t>项目新增隔离护栏1098米，租赁线路110条，对道路隔离护栏、交通标志等设备进行了维护，一方面，为公安机关稽查布控奠定了基础，也加大了交通违法行为处罚力度；另一方面，也提高了市城区主干道路通行能力和城市整体形象。</w:t>
      </w:r>
    </w:p>
    <w:p w14:paraId="281A8BCD">
      <w:pPr>
        <w:autoSpaceDE w:val="0"/>
        <w:spacing w:line="560" w:lineRule="exact"/>
        <w:ind w:firstLine="643" w:firstLineChars="200"/>
        <w:rPr>
          <w:rFonts w:ascii="仿宋_GB2312" w:eastAsia="仿宋_GB2312"/>
          <w:sz w:val="32"/>
          <w:szCs w:val="32"/>
        </w:rPr>
      </w:pPr>
      <w:r>
        <w:rPr>
          <w:rFonts w:hint="eastAsia" w:ascii="仿宋_GB2312" w:hAnsi="宋体" w:eastAsia="仿宋_GB2312"/>
          <w:b/>
          <w:sz w:val="32"/>
          <w:szCs w:val="32"/>
        </w:rPr>
        <w:t>（二）专用指标</w:t>
      </w:r>
      <w:r>
        <w:rPr>
          <w:rFonts w:hint="eastAsia" w:ascii="仿宋_GB2312" w:eastAsia="仿宋_GB2312"/>
          <w:b/>
          <w:bCs/>
          <w:color w:val="000000"/>
          <w:kern w:val="0"/>
          <w:sz w:val="32"/>
          <w:szCs w:val="32"/>
          <w:shd w:val="clear" w:color="auto" w:fill="FFFFFF"/>
        </w:rPr>
        <w:t>绩效分析。</w:t>
      </w:r>
      <w:r>
        <w:rPr>
          <w:rFonts w:hint="eastAsia" w:ascii="仿宋_GB2312" w:eastAsia="仿宋_GB2312"/>
          <w:sz w:val="32"/>
          <w:szCs w:val="32"/>
        </w:rPr>
        <w:t>民生保障</w:t>
      </w:r>
      <w:r>
        <w:rPr>
          <w:rFonts w:hint="eastAsia" w:ascii="仿宋_GB2312" w:eastAsia="仿宋_GB2312"/>
          <w:bCs/>
          <w:color w:val="000000"/>
          <w:kern w:val="0"/>
          <w:sz w:val="32"/>
          <w:szCs w:val="32"/>
          <w:shd w:val="clear" w:color="auto" w:fill="FFFFFF"/>
        </w:rPr>
        <w:t>（29.5分）</w:t>
      </w:r>
      <w:r>
        <w:rPr>
          <w:rFonts w:hint="eastAsia" w:ascii="仿宋_GB2312" w:eastAsia="仿宋_GB2312"/>
          <w:sz w:val="32"/>
          <w:szCs w:val="32"/>
        </w:rPr>
        <w:t>。</w:t>
      </w:r>
      <w:r>
        <w:rPr>
          <w:rFonts w:hint="eastAsia" w:ascii="仿宋_GB2312" w:hAnsi="楷体_GB2312" w:eastAsia="仿宋_GB2312" w:cs="楷体_GB2312"/>
          <w:sz w:val="32"/>
          <w:szCs w:val="32"/>
        </w:rPr>
        <w:t>该项目属民生保障类项目，</w:t>
      </w:r>
      <w:r>
        <w:rPr>
          <w:rFonts w:hint="eastAsia" w:ascii="仿宋_GB2312" w:eastAsia="仿宋_GB2312"/>
          <w:sz w:val="32"/>
          <w:szCs w:val="32"/>
        </w:rPr>
        <w:t>本次交通管理设施严格按照国家标准进行，产品和安装设置符合质量技术监督等国家、部省相关部门颁布的相关的质量和技术要求标准，确保交通设施符合国家新标准，满足了城区交通管理需要，保障了车辆通行安全，提高了市城区主干道路通行能力，规范了拥堵路段路口的行车秩序，也改善了城市面貌，提高了驾驶员安全意识。</w:t>
      </w:r>
    </w:p>
    <w:p w14:paraId="3023203E">
      <w:pPr>
        <w:autoSpaceDE w:val="0"/>
        <w:spacing w:line="560" w:lineRule="exact"/>
        <w:ind w:firstLine="643" w:firstLineChars="200"/>
        <w:rPr>
          <w:rFonts w:ascii="仿宋_GB2312" w:eastAsia="仿宋_GB2312"/>
          <w:sz w:val="32"/>
          <w:szCs w:val="32"/>
        </w:rPr>
      </w:pPr>
      <w:r>
        <w:rPr>
          <w:rFonts w:hint="eastAsia" w:ascii="仿宋_GB2312" w:hAnsi="宋体" w:eastAsia="仿宋_GB2312"/>
          <w:b/>
          <w:sz w:val="32"/>
          <w:szCs w:val="32"/>
        </w:rPr>
        <w:t>（三）个性指标</w:t>
      </w:r>
      <w:r>
        <w:rPr>
          <w:rFonts w:hint="eastAsia" w:ascii="仿宋_GB2312" w:eastAsia="仿宋_GB2312"/>
          <w:b/>
          <w:bCs/>
          <w:color w:val="000000"/>
          <w:kern w:val="0"/>
          <w:sz w:val="32"/>
          <w:szCs w:val="32"/>
          <w:shd w:val="clear" w:color="auto" w:fill="FFFFFF"/>
        </w:rPr>
        <w:t>绩效分析（15分）。</w:t>
      </w:r>
      <w:r>
        <w:rPr>
          <w:rFonts w:hint="eastAsia" w:ascii="仿宋_GB2312" w:eastAsia="仿宋_GB2312"/>
          <w:sz w:val="32"/>
          <w:szCs w:val="32"/>
        </w:rPr>
        <w:t>通过对城区交通安全管路设施设备的维护，满足了交通需要和交通管理的实际需要，提高了城区道路交通通行能力，也改善了城市面貌。</w:t>
      </w:r>
    </w:p>
    <w:p w14:paraId="73F70AAC">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四、评价结论</w:t>
      </w:r>
    </w:p>
    <w:p w14:paraId="1C0A74A6">
      <w:pPr>
        <w:pStyle w:val="5"/>
        <w:autoSpaceDE w:val="0"/>
        <w:spacing w:line="560" w:lineRule="exact"/>
        <w:ind w:firstLine="640" w:firstLineChars="200"/>
        <w:rPr>
          <w:rFonts w:ascii="黑体" w:hAnsi="黑体" w:eastAsia="黑体"/>
          <w:sz w:val="32"/>
          <w:szCs w:val="32"/>
        </w:rPr>
      </w:pPr>
      <w:r>
        <w:rPr>
          <w:rFonts w:hint="eastAsia" w:ascii="仿宋_GB2312" w:eastAsia="仿宋_GB2312"/>
          <w:sz w:val="32"/>
          <w:szCs w:val="32"/>
        </w:rPr>
        <w:t>从评价情况来看，该项目得分97.6分。项目的预算资金管理科学合理，使用规范，完成了项目的既定目标，达到了预期使用效果。</w:t>
      </w:r>
    </w:p>
    <w:p w14:paraId="4A51855F">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14:paraId="4BD88AD6">
      <w:pPr>
        <w:pStyle w:val="5"/>
        <w:autoSpaceDE w:val="0"/>
        <w:spacing w:line="560" w:lineRule="exact"/>
        <w:ind w:firstLine="640" w:firstLineChars="200"/>
        <w:rPr>
          <w:rFonts w:ascii="黑体" w:hAnsi="黑体" w:eastAsia="黑体"/>
          <w:sz w:val="32"/>
          <w:szCs w:val="32"/>
        </w:rPr>
      </w:pPr>
      <w:r>
        <w:rPr>
          <w:rFonts w:hint="eastAsia" w:ascii="仿宋_GB2312" w:hAnsi="宋体" w:eastAsia="仿宋_GB2312" w:cs="宋体"/>
          <w:sz w:val="32"/>
          <w:szCs w:val="32"/>
        </w:rPr>
        <w:t>该项目未纳入年初部门预算，</w:t>
      </w:r>
      <w:r>
        <w:rPr>
          <w:rFonts w:hint="eastAsia" w:ascii="仿宋_GB2312" w:eastAsia="仿宋_GB2312"/>
          <w:sz w:val="32"/>
          <w:szCs w:val="32"/>
        </w:rPr>
        <w:t>项目资金计划下达较迟，影响政府采购工作进度。</w:t>
      </w:r>
    </w:p>
    <w:p w14:paraId="21C8ACC5">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六、改进建议</w:t>
      </w:r>
    </w:p>
    <w:p w14:paraId="407DA81B">
      <w:pPr>
        <w:autoSpaceDE w:val="0"/>
        <w:spacing w:line="560" w:lineRule="exact"/>
        <w:ind w:firstLine="510"/>
        <w:jc w:val="left"/>
        <w:rPr>
          <w:rFonts w:ascii="仿宋_GB2312" w:hAnsi="宋体" w:eastAsia="仿宋_GB2312" w:cs="宋体"/>
          <w:sz w:val="32"/>
          <w:szCs w:val="32"/>
        </w:rPr>
      </w:pPr>
      <w:r>
        <w:rPr>
          <w:rFonts w:hint="eastAsia" w:ascii="仿宋_GB2312" w:hAnsi="宋体" w:eastAsia="仿宋_GB2312" w:cs="宋体"/>
          <w:sz w:val="32"/>
          <w:szCs w:val="32"/>
        </w:rPr>
        <w:t>建议将城区交通管理设施专项经费纳入部门预算，方便项目的采购、规划和及时实施。</w:t>
      </w:r>
    </w:p>
    <w:p w14:paraId="173B5824">
      <w:pPr>
        <w:autoSpaceDE w:val="0"/>
        <w:spacing w:line="560" w:lineRule="exact"/>
        <w:ind w:firstLine="510"/>
        <w:jc w:val="left"/>
        <w:rPr>
          <w:rFonts w:ascii="仿宋_GB2312" w:hAnsi="宋体" w:eastAsia="仿宋_GB2312" w:cs="宋体"/>
          <w:sz w:val="32"/>
          <w:szCs w:val="32"/>
        </w:rPr>
      </w:pPr>
    </w:p>
    <w:p w14:paraId="3CE2E435">
      <w:pPr>
        <w:pStyle w:val="2"/>
      </w:pPr>
    </w:p>
    <w:p w14:paraId="28AC9649">
      <w:pPr>
        <w:pStyle w:val="20"/>
        <w:autoSpaceDE w:val="0"/>
        <w:spacing w:line="560" w:lineRule="exact"/>
        <w:jc w:val="center"/>
        <w:rPr>
          <w:rFonts w:ascii="黑体" w:hAnsi="黑体" w:eastAsia="黑体"/>
          <w:kern w:val="2"/>
          <w:sz w:val="44"/>
          <w:szCs w:val="44"/>
        </w:rPr>
      </w:pPr>
      <w:r>
        <w:rPr>
          <w:rFonts w:hint="eastAsia" w:ascii="黑体" w:hAnsi="黑体" w:eastAsia="黑体"/>
          <w:kern w:val="2"/>
          <w:sz w:val="44"/>
          <w:szCs w:val="44"/>
        </w:rPr>
        <w:t>广元市公安局交通警察支队</w:t>
      </w:r>
    </w:p>
    <w:p w14:paraId="2293FD20">
      <w:pPr>
        <w:pStyle w:val="20"/>
        <w:autoSpaceDE w:val="0"/>
        <w:spacing w:line="560" w:lineRule="exact"/>
        <w:jc w:val="center"/>
        <w:rPr>
          <w:rFonts w:ascii="黑体" w:hAnsi="黑体" w:eastAsia="黑体"/>
          <w:kern w:val="2"/>
          <w:sz w:val="44"/>
          <w:szCs w:val="44"/>
        </w:rPr>
      </w:pPr>
      <w:r>
        <w:rPr>
          <w:rFonts w:hint="eastAsia" w:ascii="黑体" w:hAnsi="黑体" w:eastAsia="黑体"/>
          <w:kern w:val="2"/>
          <w:sz w:val="44"/>
          <w:szCs w:val="44"/>
        </w:rPr>
        <w:t>酒驾血样监管系统绩效自评报告</w:t>
      </w:r>
    </w:p>
    <w:p w14:paraId="067FDD1A">
      <w:pPr>
        <w:pStyle w:val="20"/>
        <w:autoSpaceDE w:val="0"/>
        <w:spacing w:line="560" w:lineRule="exact"/>
        <w:ind w:firstLine="640"/>
        <w:jc w:val="center"/>
        <w:rPr>
          <w:rFonts w:ascii="仿宋_GB2312" w:hAnsi="Times New Roman" w:eastAsia="仿宋_GB2312"/>
          <w:kern w:val="2"/>
          <w:sz w:val="32"/>
          <w:szCs w:val="32"/>
        </w:rPr>
      </w:pPr>
      <w:r>
        <w:rPr>
          <w:rFonts w:hint="eastAsia" w:ascii="仿宋_GB2312" w:hAnsi="Times New Roman" w:eastAsia="仿宋_GB2312"/>
          <w:kern w:val="2"/>
          <w:sz w:val="32"/>
          <w:szCs w:val="32"/>
        </w:rPr>
        <w:t xml:space="preserve"> </w:t>
      </w:r>
    </w:p>
    <w:p w14:paraId="1A0323DC">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一、项目概况</w:t>
      </w:r>
    </w:p>
    <w:p w14:paraId="33897C6D">
      <w:pPr>
        <w:widowControl/>
        <w:autoSpaceDE w:val="0"/>
        <w:adjustRightInd w:val="0"/>
        <w:snapToGrid w:val="0"/>
        <w:spacing w:line="560" w:lineRule="exact"/>
        <w:ind w:firstLine="643" w:firstLineChars="200"/>
        <w:contextualSpacing/>
        <w:jc w:val="left"/>
        <w:rPr>
          <w:rFonts w:ascii="仿宋_GB2312" w:eastAsia="仿宋_GB2312"/>
          <w:kern w:val="0"/>
          <w:sz w:val="32"/>
          <w:szCs w:val="32"/>
          <w:shd w:val="clear" w:color="auto" w:fill="FFFFFF"/>
        </w:rPr>
      </w:pPr>
      <w:r>
        <w:rPr>
          <w:rFonts w:hint="eastAsia" w:ascii="仿宋_GB2312" w:eastAsia="仿宋_GB2312"/>
          <w:b/>
          <w:sz w:val="32"/>
          <w:szCs w:val="32"/>
        </w:rPr>
        <w:t>（一）设立背景及基本情况。</w:t>
      </w:r>
      <w:r>
        <w:rPr>
          <w:rFonts w:hint="eastAsia" w:ascii="仿宋_GB2312" w:eastAsia="仿宋_GB2312"/>
          <w:sz w:val="32"/>
          <w:szCs w:val="32"/>
        </w:rPr>
        <w:t xml:space="preserve">根据公安部《关于公安机关办理醉酒驾驶机动车犯罪案件的指导意见》公交管〔2011〕190号第五条规定：规范血样提取送检，交通民警对当事人血液提取过程应当全程监控，保证收集证据合法、有效。提取的血样要当场登记封装，并立即送县级以上公安机关检验鉴定机构或者经公安机关认可的其他具备资格的检验鉴定机构进行血液酒精含量检验。因特殊原因不能立即送检的，应当按照规范低温保存。结合公安交警实际工作特征，酒醉驾查处工作基本是处于夜间时段，按照规范要求应当立即送检问题无法实现。故建设酒检血样监管系统是为了实现酒检仪、血样转运箱、智能血样检材柜的规范使用，更加客观真实的记录血样提取和存储全过程，为科学考核评价、固定执法证据、监督处罚结果提供重要依据。也是避免人为因素干扰和排除调换血样、修改检测数据、拖延血样检测等违法违纪事件发生。确保涉酒类行政、刑事和交通事故案件办理的公正性和合法性，防范执法风险。 </w:t>
      </w:r>
    </w:p>
    <w:p w14:paraId="1F2EF6FD">
      <w:pPr>
        <w:widowControl/>
        <w:autoSpaceDE w:val="0"/>
        <w:adjustRightInd w:val="0"/>
        <w:snapToGrid w:val="0"/>
        <w:spacing w:line="560" w:lineRule="exact"/>
        <w:ind w:firstLine="643" w:firstLineChars="200"/>
        <w:contextualSpacing/>
        <w:jc w:val="left"/>
        <w:rPr>
          <w:rFonts w:ascii="仿宋_GB2312" w:hAnsi="宋体" w:eastAsia="仿宋_GB2312" w:cs="宋体"/>
          <w:kern w:val="0"/>
          <w:sz w:val="32"/>
          <w:szCs w:val="32"/>
        </w:rPr>
      </w:pPr>
      <w:r>
        <w:rPr>
          <w:rFonts w:hint="eastAsia" w:ascii="仿宋_GB2312" w:eastAsia="仿宋_GB2312"/>
          <w:b/>
          <w:sz w:val="32"/>
          <w:szCs w:val="32"/>
        </w:rPr>
        <w:t>（二）实施目的及支持方向。</w:t>
      </w:r>
      <w:r>
        <w:rPr>
          <w:rFonts w:hint="eastAsia" w:ascii="仿宋_GB2312" w:hAnsi="宋体" w:eastAsia="仿宋_GB2312"/>
          <w:sz w:val="32"/>
          <w:szCs w:val="32"/>
        </w:rPr>
        <w:t>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旨在通过建立酒驾血样监管系统，</w:t>
      </w:r>
      <w:r>
        <w:rPr>
          <w:rFonts w:hint="eastAsia" w:ascii="仿宋_GB2312" w:eastAsia="仿宋_GB2312"/>
          <w:sz w:val="32"/>
          <w:szCs w:val="32"/>
        </w:rPr>
        <w:t xml:space="preserve">避免人为因素干扰和排除调换血样、修改检测数据、拖延血样检测等违法违纪事件发生,确保涉酒类行政、刑事和交通事故案件办理的公正性和合法性，防范执法风险。 </w:t>
      </w:r>
    </w:p>
    <w:p w14:paraId="1DDC3001">
      <w:pPr>
        <w:widowControl/>
        <w:autoSpaceDE w:val="0"/>
        <w:adjustRightInd w:val="0"/>
        <w:snapToGrid w:val="0"/>
        <w:spacing w:line="560" w:lineRule="exact"/>
        <w:ind w:firstLine="643" w:firstLineChars="200"/>
        <w:contextualSpacing/>
        <w:jc w:val="left"/>
        <w:rPr>
          <w:rFonts w:ascii="仿宋_GB2312" w:hAnsi="Times New Roman" w:eastAsia="仿宋_GB2312"/>
          <w:kern w:val="0"/>
          <w:sz w:val="32"/>
          <w:szCs w:val="32"/>
          <w:shd w:val="clear" w:color="auto" w:fill="FFFFFF"/>
        </w:rPr>
      </w:pPr>
      <w:r>
        <w:rPr>
          <w:rFonts w:hint="eastAsia" w:ascii="仿宋_GB2312" w:eastAsia="仿宋_GB2312"/>
          <w:b/>
          <w:sz w:val="32"/>
          <w:szCs w:val="32"/>
        </w:rPr>
        <w:t>（三）预算安排及分配管理。</w:t>
      </w:r>
      <w:r>
        <w:rPr>
          <w:rFonts w:hint="eastAsia" w:ascii="仿宋_GB2312" w:eastAsia="仿宋_GB2312"/>
          <w:kern w:val="0"/>
          <w:sz w:val="32"/>
          <w:szCs w:val="32"/>
          <w:shd w:val="clear" w:color="auto" w:fill="FFFFFF"/>
        </w:rPr>
        <w:t>项目预算安排40万元，项目资金用于购买酒驾血样监管系统。</w:t>
      </w:r>
    </w:p>
    <w:p w14:paraId="7D6113BE">
      <w:pPr>
        <w:adjustRightInd w:val="0"/>
        <w:snapToGrid w:val="0"/>
        <w:spacing w:line="560" w:lineRule="exact"/>
        <w:ind w:firstLine="720"/>
        <w:rPr>
          <w:rFonts w:ascii="仿宋_GB2312" w:eastAsia="仿宋_GB2312"/>
          <w:kern w:val="0"/>
          <w:sz w:val="32"/>
          <w:szCs w:val="32"/>
          <w:shd w:val="clear" w:color="auto" w:fill="FFFFFF"/>
        </w:rPr>
      </w:pPr>
      <w:r>
        <w:rPr>
          <w:rFonts w:hint="eastAsia" w:ascii="仿宋_GB2312" w:eastAsia="仿宋_GB2312"/>
          <w:b/>
          <w:sz w:val="32"/>
          <w:szCs w:val="32"/>
        </w:rPr>
        <w:t>（四）项目绩效目标设置。</w:t>
      </w:r>
      <w:r>
        <w:rPr>
          <w:rFonts w:hint="eastAsia" w:ascii="仿宋_GB2312" w:eastAsia="仿宋_GB2312"/>
          <w:sz w:val="32"/>
          <w:szCs w:val="32"/>
        </w:rPr>
        <w:t>2024年，根据预算绩效管理要求，在预算编制阶段，能够科学、合理的设置绩效目标，充分考虑各项目的差异性，使绩效目标内容完整，细化量化，可操作性强，与预算匹配。支队高度重视项目绩效自查自评工作，成立了以支队长任组长的项目自评领导小组，下设办公室具体负责自评工作，采取调阅资料、现场查看等方式开展自评工作。</w:t>
      </w:r>
    </w:p>
    <w:p w14:paraId="45FD3CF2">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二、评价实施</w:t>
      </w:r>
    </w:p>
    <w:p w14:paraId="651FA8FE">
      <w:pPr>
        <w:spacing w:line="560" w:lineRule="exact"/>
        <w:ind w:firstLine="640"/>
        <w:rPr>
          <w:rFonts w:ascii="仿宋_GB2312" w:eastAsia="仿宋_GB2312"/>
          <w:sz w:val="32"/>
          <w:szCs w:val="32"/>
        </w:rPr>
      </w:pPr>
      <w:r>
        <w:rPr>
          <w:rFonts w:hint="eastAsia" w:ascii="仿宋_GB2312" w:eastAsia="仿宋_GB2312"/>
          <w:b/>
          <w:sz w:val="32"/>
          <w:szCs w:val="32"/>
        </w:rPr>
        <w:t>（一）评价目的。</w:t>
      </w:r>
      <w:r>
        <w:rPr>
          <w:rFonts w:hint="eastAsia" w:ascii="仿宋_GB2312" w:eastAsia="仿宋_GB2312"/>
          <w:sz w:val="32"/>
          <w:szCs w:val="32"/>
        </w:rPr>
        <w:t>通过项目绩效自评，主要结合资金使用情况，查看项目资金发挥的效益情况，是否实现绩效目标。</w:t>
      </w:r>
    </w:p>
    <w:p w14:paraId="0EF096DB">
      <w:pPr>
        <w:autoSpaceDE w:val="0"/>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（二）预设问题及评价重点。</w:t>
      </w:r>
      <w:r>
        <w:rPr>
          <w:rFonts w:hint="eastAsia" w:ascii="仿宋_GB2312" w:eastAsia="仿宋_GB2312"/>
          <w:sz w:val="32"/>
          <w:szCs w:val="32"/>
        </w:rPr>
        <w:t>预设问题为采购项目是否</w:t>
      </w:r>
      <w:r>
        <w:rPr>
          <w:rFonts w:hint="eastAsia" w:ascii="仿宋_GB2312" w:hAnsi="宋体" w:eastAsia="仿宋_GB2312"/>
          <w:sz w:val="32"/>
          <w:szCs w:val="32"/>
        </w:rPr>
        <w:t>严格按照相求要求应采尽采；评价重点在于酒驾监管系统是否达到预设目标。</w:t>
      </w:r>
    </w:p>
    <w:p w14:paraId="35EA7615">
      <w:pPr>
        <w:autoSpaceDE w:val="0"/>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（三）评价选点。</w:t>
      </w:r>
      <w:r>
        <w:rPr>
          <w:rFonts w:hint="eastAsia" w:ascii="仿宋_GB2312" w:eastAsia="仿宋_GB2312"/>
          <w:sz w:val="32"/>
          <w:szCs w:val="32"/>
        </w:rPr>
        <w:t>通过电脑查看系统运行是否正常，办案民警在存放血样时是否规范。</w:t>
      </w:r>
    </w:p>
    <w:p w14:paraId="7F0993F2">
      <w:pPr>
        <w:adjustRightInd w:val="0"/>
        <w:snapToGrid w:val="0"/>
        <w:spacing w:line="560" w:lineRule="exact"/>
        <w:ind w:firstLine="720"/>
        <w:rPr>
          <w:rFonts w:ascii="仿宋_GB2312" w:eastAsia="仿宋_GB2312"/>
          <w:sz w:val="32"/>
          <w:szCs w:val="32"/>
        </w:rPr>
      </w:pPr>
      <w:r>
        <w:rPr>
          <w:rFonts w:hint="eastAsia" w:ascii="仿宋_GB2312" w:eastAsia="仿宋_GB2312"/>
          <w:b/>
          <w:sz w:val="32"/>
          <w:szCs w:val="32"/>
        </w:rPr>
        <w:t>（四）评价方法。</w:t>
      </w:r>
      <w:r>
        <w:rPr>
          <w:rFonts w:hint="eastAsia" w:ascii="仿宋_GB2312" w:eastAsia="仿宋_GB2312"/>
          <w:sz w:val="32"/>
          <w:szCs w:val="32"/>
        </w:rPr>
        <w:t>该项目采取了调阅资料的方式开展自评工作。</w:t>
      </w:r>
    </w:p>
    <w:p w14:paraId="5189CC7B">
      <w:pPr>
        <w:adjustRightInd w:val="0"/>
        <w:snapToGrid w:val="0"/>
        <w:spacing w:line="560" w:lineRule="exact"/>
        <w:ind w:firstLine="720"/>
        <w:rPr>
          <w:rFonts w:ascii="仿宋_GB2312" w:eastAsia="仿宋_GB2312"/>
          <w:sz w:val="32"/>
          <w:szCs w:val="32"/>
        </w:rPr>
      </w:pPr>
      <w:r>
        <w:rPr>
          <w:rFonts w:hint="eastAsia" w:ascii="仿宋_GB2312" w:eastAsia="仿宋_GB2312"/>
          <w:b/>
          <w:sz w:val="32"/>
          <w:szCs w:val="32"/>
        </w:rPr>
        <w:t>（五）评价组织。</w:t>
      </w:r>
      <w:r>
        <w:rPr>
          <w:rFonts w:hint="eastAsia" w:ascii="仿宋_GB2312" w:eastAsia="仿宋_GB2312"/>
          <w:sz w:val="32"/>
          <w:szCs w:val="32"/>
        </w:rPr>
        <w:t>支队高度重视项目绩效自查自评工作，成立了以支队长任组长的项目自评领导小组，由法制宣传科具体负责自评工作。</w:t>
      </w:r>
    </w:p>
    <w:p w14:paraId="0A705B0E">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三、绩效分析</w:t>
      </w:r>
      <w:r>
        <w:rPr>
          <w:rFonts w:hint="eastAsia" w:ascii="黑体" w:hAnsi="黑体" w:eastAsia="黑体"/>
          <w:sz w:val="32"/>
          <w:szCs w:val="32"/>
        </w:rPr>
        <w:tab/>
      </w:r>
    </w:p>
    <w:p w14:paraId="21EC9FD6">
      <w:pPr>
        <w:autoSpaceDE w:val="0"/>
        <w:spacing w:line="560" w:lineRule="exact"/>
        <w:ind w:firstLine="640"/>
        <w:rPr>
          <w:rFonts w:ascii="仿宋_GB2312" w:eastAsia="仿宋_GB2312"/>
          <w:b/>
          <w:sz w:val="32"/>
          <w:szCs w:val="32"/>
        </w:rPr>
      </w:pPr>
      <w:r>
        <w:rPr>
          <w:rFonts w:hint="eastAsia" w:ascii="仿宋_GB2312" w:eastAsia="仿宋_GB2312"/>
          <w:b/>
          <w:sz w:val="32"/>
          <w:szCs w:val="32"/>
        </w:rPr>
        <w:t>（一）通用指标</w:t>
      </w:r>
      <w:r>
        <w:rPr>
          <w:rFonts w:hint="eastAsia" w:ascii="仿宋_GB2312" w:eastAsia="仿宋_GB2312"/>
          <w:b/>
          <w:kern w:val="0"/>
          <w:sz w:val="32"/>
          <w:szCs w:val="32"/>
          <w:shd w:val="clear" w:color="auto" w:fill="FFFFFF"/>
        </w:rPr>
        <w:t>绩效分析。</w:t>
      </w:r>
    </w:p>
    <w:p w14:paraId="65A49B71">
      <w:pPr>
        <w:autoSpaceDE w:val="0"/>
        <w:spacing w:line="560" w:lineRule="exact"/>
        <w:ind w:firstLine="640"/>
        <w:rPr>
          <w:rFonts w:ascii="仿宋_GB2312" w:hAnsi="楷体" w:eastAsia="仿宋_GB2312"/>
          <w:sz w:val="32"/>
          <w:szCs w:val="32"/>
        </w:rPr>
      </w:pPr>
      <w:r>
        <w:rPr>
          <w:rFonts w:hint="eastAsia" w:ascii="仿宋_GB2312" w:eastAsia="仿宋_GB2312"/>
          <w:sz w:val="32"/>
          <w:szCs w:val="32"/>
        </w:rPr>
        <w:t>1.项目决策（18分）。</w:t>
      </w:r>
      <w:r>
        <w:rPr>
          <w:rFonts w:hint="eastAsia" w:ascii="仿宋_GB2312" w:hAnsi="楷体" w:eastAsia="仿宋_GB2312"/>
          <w:sz w:val="32"/>
          <w:szCs w:val="32"/>
        </w:rPr>
        <w:t>该项目由相关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14:paraId="5CD26C8C">
      <w:pPr>
        <w:spacing w:line="560" w:lineRule="exact"/>
        <w:ind w:firstLine="640" w:firstLineChars="200"/>
        <w:rPr>
          <w:rFonts w:ascii="仿宋_GB2312" w:hAnsi="Times New Roman" w:eastAsia="仿宋_GB2312"/>
          <w:sz w:val="32"/>
          <w:szCs w:val="32"/>
        </w:rPr>
      </w:pPr>
      <w:r>
        <w:rPr>
          <w:rFonts w:hint="eastAsia" w:ascii="仿宋_GB2312" w:eastAsia="仿宋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w:t>
      </w:r>
      <w:r>
        <w:rPr>
          <w:rFonts w:hint="eastAsia" w:ascii="仿宋_GB2312" w:eastAsia="仿宋_GB2312"/>
          <w:sz w:val="32"/>
          <w:szCs w:val="32"/>
        </w:rPr>
        <w:t>严格遵照《中华人民共和国招投标法》，凡达到政府采购标准的，全部进行公开招标和采购。确保支队项目规范采购，按期优质完成；同时，还安排了具体人员负责技术指导和监督，按照标准和合同，严把质量关、进度关，确保项目按期进行和达到预期目标。</w:t>
      </w:r>
    </w:p>
    <w:p w14:paraId="3C9E3E91">
      <w:pPr>
        <w:spacing w:line="560" w:lineRule="exact"/>
        <w:ind w:firstLine="640" w:firstLineChars="200"/>
        <w:rPr>
          <w:rFonts w:ascii="仿宋_GB2312" w:eastAsia="仿宋_GB2312"/>
          <w:sz w:val="32"/>
          <w:szCs w:val="32"/>
        </w:rPr>
      </w:pPr>
      <w:r>
        <w:rPr>
          <w:rFonts w:hint="eastAsia" w:ascii="仿宋_GB2312" w:eastAsia="仿宋_GB2312"/>
          <w:sz w:val="32"/>
          <w:szCs w:val="32"/>
        </w:rPr>
        <w:t>3.项目实施（9分）。该项目</w:t>
      </w:r>
      <w:r>
        <w:rPr>
          <w:rFonts w:hint="eastAsia" w:ascii="仿宋_GB2312" w:hAnsi="宋体" w:eastAsia="仿宋_GB2312"/>
          <w:sz w:val="32"/>
          <w:szCs w:val="32"/>
        </w:rPr>
        <w:t>资金已按照政府采购价格</w:t>
      </w:r>
      <w:r>
        <w:rPr>
          <w:rFonts w:hint="eastAsia" w:ascii="仿宋_GB2312" w:eastAsia="仿宋_GB2312"/>
          <w:sz w:val="32"/>
          <w:szCs w:val="32"/>
        </w:rPr>
        <w:t>100%</w:t>
      </w:r>
      <w:r>
        <w:rPr>
          <w:rFonts w:hint="eastAsia" w:ascii="仿宋_GB2312" w:hAnsi="宋体" w:eastAsia="仿宋_GB2312"/>
          <w:sz w:val="32"/>
          <w:szCs w:val="32"/>
        </w:rPr>
        <w:t>支付，</w:t>
      </w:r>
      <w:r>
        <w:rPr>
          <w:rFonts w:hint="eastAsia" w:ascii="仿宋_GB2312" w:hAnsi="宋体" w:eastAsia="仿宋_GB2312" w:cs="宋体"/>
          <w:kern w:val="0"/>
          <w:sz w:val="32"/>
          <w:szCs w:val="32"/>
        </w:rPr>
        <w:t>狠抓了经费“</w:t>
      </w:r>
      <w:r>
        <w:rPr>
          <w:rFonts w:hint="eastAsia" w:ascii="仿宋_GB2312" w:eastAsia="仿宋_GB2312"/>
          <w:sz w:val="32"/>
          <w:szCs w:val="32"/>
        </w:rPr>
        <w:t>使用审批”、“预算执行”、“管理监督”三个环节，硬化了预算约束。</w:t>
      </w:r>
    </w:p>
    <w:p w14:paraId="065DF0DD">
      <w:pPr>
        <w:spacing w:line="560" w:lineRule="exact"/>
        <w:ind w:firstLine="640" w:firstLineChars="200"/>
        <w:rPr>
          <w:rFonts w:ascii="仿宋_GB2312" w:eastAsia="仿宋_GB2312"/>
          <w:sz w:val="32"/>
          <w:szCs w:val="32"/>
        </w:rPr>
      </w:pPr>
      <w:r>
        <w:rPr>
          <w:rFonts w:hint="eastAsia" w:ascii="仿宋_GB2312" w:eastAsia="仿宋_GB2312"/>
          <w:sz w:val="32"/>
          <w:szCs w:val="32"/>
        </w:rPr>
        <w:t>4.项目结果（8.3分）。2024年7月自投入使用该系统，共存放血样数量约2100余支，所有血样均按要求存放，查处醉驾数量546起。</w:t>
      </w:r>
    </w:p>
    <w:p w14:paraId="5FA6F8F4">
      <w:pPr>
        <w:autoSpaceDE w:val="0"/>
        <w:spacing w:line="560" w:lineRule="exact"/>
        <w:ind w:firstLine="643" w:firstLineChars="200"/>
        <w:rPr>
          <w:rFonts w:ascii="仿宋_GB2312" w:eastAsia="仿宋_GB2312"/>
          <w:sz w:val="32"/>
          <w:szCs w:val="32"/>
        </w:rPr>
      </w:pPr>
      <w:r>
        <w:rPr>
          <w:rFonts w:hint="eastAsia" w:ascii="仿宋_GB2312" w:eastAsia="仿宋_GB2312"/>
          <w:b/>
          <w:sz w:val="32"/>
          <w:szCs w:val="32"/>
        </w:rPr>
        <w:t>（二）专用指标</w:t>
      </w:r>
      <w:r>
        <w:rPr>
          <w:rFonts w:hint="eastAsia" w:ascii="仿宋_GB2312" w:eastAsia="仿宋_GB2312"/>
          <w:b/>
          <w:kern w:val="0"/>
          <w:sz w:val="32"/>
          <w:szCs w:val="32"/>
          <w:shd w:val="clear" w:color="auto" w:fill="FFFFFF"/>
        </w:rPr>
        <w:t>绩效分析（30分）。</w:t>
      </w:r>
      <w:r>
        <w:rPr>
          <w:rFonts w:hint="eastAsia" w:ascii="仿宋_GB2312" w:eastAsia="仿宋_GB2312"/>
          <w:sz w:val="32"/>
          <w:szCs w:val="32"/>
        </w:rPr>
        <w:t>该项目属行政运转类项目，政府采购程序、资金支付合法合规，实现了酒检仪、血样转运箱、智能血样检材柜的规范使用，更加客观真实的记录血样提取和存储全过程，为科学考核评价、固定执法证据、监督处罚结果提供重要依据。</w:t>
      </w:r>
    </w:p>
    <w:p w14:paraId="5A440F37">
      <w:pPr>
        <w:autoSpaceDE w:val="0"/>
        <w:spacing w:line="560" w:lineRule="exact"/>
        <w:ind w:firstLine="643" w:firstLineChars="200"/>
        <w:rPr>
          <w:rFonts w:ascii="仿宋_GB2312" w:eastAsia="仿宋_GB2312"/>
          <w:sz w:val="32"/>
          <w:szCs w:val="32"/>
        </w:rPr>
      </w:pPr>
      <w:r>
        <w:rPr>
          <w:rFonts w:hint="eastAsia" w:ascii="仿宋_GB2312" w:eastAsia="仿宋_GB2312"/>
          <w:b/>
          <w:sz w:val="32"/>
          <w:szCs w:val="32"/>
        </w:rPr>
        <w:t>（三）个性指标</w:t>
      </w:r>
      <w:r>
        <w:rPr>
          <w:rFonts w:hint="eastAsia" w:ascii="仿宋_GB2312" w:eastAsia="仿宋_GB2312"/>
          <w:b/>
          <w:kern w:val="0"/>
          <w:sz w:val="32"/>
          <w:szCs w:val="32"/>
          <w:shd w:val="clear" w:color="auto" w:fill="FFFFFF"/>
        </w:rPr>
        <w:t>绩效分析（16分）。</w:t>
      </w:r>
      <w:r>
        <w:rPr>
          <w:rFonts w:hint="eastAsia" w:ascii="仿宋_GB2312" w:eastAsia="仿宋_GB2312"/>
          <w:sz w:val="32"/>
          <w:szCs w:val="32"/>
        </w:rPr>
        <w:t xml:space="preserve">通过项目实施，避免了人为因素干扰和排除调换血样、修改检测数据、拖延血样检测等违法违纪事件发生，确保了涉酒类行政、刑事和交通事故案件办理的公正性和合法性，防范执法风险。 </w:t>
      </w:r>
    </w:p>
    <w:p w14:paraId="4B281588">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四、评价结论</w:t>
      </w:r>
    </w:p>
    <w:p w14:paraId="32839FA8">
      <w:pPr>
        <w:spacing w:line="560" w:lineRule="exact"/>
        <w:ind w:firstLine="640" w:firstLineChars="200"/>
        <w:rPr>
          <w:rFonts w:ascii="仿宋_GB2312" w:eastAsia="仿宋_GB2312"/>
          <w:sz w:val="32"/>
          <w:szCs w:val="32"/>
        </w:rPr>
      </w:pPr>
      <w:r>
        <w:rPr>
          <w:rFonts w:hint="eastAsia" w:ascii="仿宋_GB2312" w:eastAsia="仿宋_GB2312"/>
          <w:sz w:val="32"/>
          <w:szCs w:val="32"/>
        </w:rPr>
        <w:t>从评价情况来看，项目的预算资金管理科学合理，使用规范，完成了项目的既定目标，达到了预期使用效果，得分是99.3分。</w:t>
      </w:r>
    </w:p>
    <w:p w14:paraId="0292516C">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14:paraId="08819133">
      <w:pPr>
        <w:pStyle w:val="5"/>
        <w:autoSpaceDE w:val="0"/>
        <w:spacing w:line="560" w:lineRule="exact"/>
        <w:ind w:firstLine="640" w:firstLineChars="200"/>
        <w:rPr>
          <w:rFonts w:ascii="仿宋_GB2312" w:eastAsia="仿宋_GB2312"/>
          <w:sz w:val="32"/>
          <w:szCs w:val="32"/>
        </w:rPr>
      </w:pPr>
      <w:r>
        <w:rPr>
          <w:rFonts w:hint="eastAsia" w:ascii="仿宋_GB2312" w:eastAsia="仿宋_GB2312"/>
          <w:sz w:val="32"/>
          <w:szCs w:val="32"/>
        </w:rPr>
        <w:t>无。</w:t>
      </w:r>
    </w:p>
    <w:p w14:paraId="5790FB5F">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六、改进建议</w:t>
      </w:r>
    </w:p>
    <w:p w14:paraId="3ACB5534">
      <w:pPr>
        <w:autoSpaceDE w:val="0"/>
        <w:spacing w:line="560" w:lineRule="exact"/>
        <w:jc w:val="left"/>
        <w:rPr>
          <w:rFonts w:ascii="仿宋_GB2312" w:eastAsia="仿宋_GB2312"/>
          <w:kern w:val="0"/>
          <w:sz w:val="32"/>
          <w:szCs w:val="32"/>
        </w:rPr>
      </w:pPr>
      <w:r>
        <w:rPr>
          <w:rFonts w:hint="eastAsia" w:ascii="仿宋_GB2312" w:eastAsia="仿宋_GB2312"/>
          <w:kern w:val="0"/>
          <w:sz w:val="32"/>
          <w:szCs w:val="32"/>
          <w:shd w:val="clear" w:color="auto" w:fill="FFFFFF"/>
        </w:rPr>
        <w:t xml:space="preserve"> </w:t>
      </w:r>
      <w:r>
        <w:rPr>
          <w:rFonts w:hint="eastAsia" w:ascii="仿宋_GB2312" w:eastAsia="仿宋_GB2312"/>
          <w:kern w:val="0"/>
          <w:sz w:val="32"/>
          <w:szCs w:val="32"/>
        </w:rPr>
        <w:t xml:space="preserve">   无。</w:t>
      </w:r>
    </w:p>
    <w:p w14:paraId="6E32CD2D">
      <w:pPr>
        <w:spacing w:line="560" w:lineRule="exact"/>
        <w:ind w:firstLine="3200" w:firstLineChars="1000"/>
        <w:rPr>
          <w:rFonts w:ascii="仿宋_GB2312" w:eastAsia="仿宋_GB2312"/>
          <w:sz w:val="32"/>
          <w:szCs w:val="32"/>
        </w:rPr>
      </w:pPr>
      <w:r>
        <w:rPr>
          <w:rFonts w:hint="eastAsia" w:ascii="仿宋_GB2312" w:eastAsia="仿宋_GB2312"/>
          <w:sz w:val="32"/>
          <w:szCs w:val="32"/>
        </w:rPr>
        <w:t xml:space="preserve"> </w:t>
      </w:r>
    </w:p>
    <w:p w14:paraId="12DF3645">
      <w:pPr>
        <w:pStyle w:val="20"/>
        <w:autoSpaceDE w:val="0"/>
        <w:spacing w:line="560" w:lineRule="exact"/>
        <w:rPr>
          <w:rFonts w:ascii="仿宋_GB2312" w:hAnsi="Calibri" w:eastAsia="仿宋_GB2312"/>
          <w:color w:val="auto"/>
          <w:kern w:val="2"/>
          <w:sz w:val="32"/>
          <w:szCs w:val="32"/>
        </w:rPr>
      </w:pPr>
    </w:p>
    <w:p w14:paraId="6F50D4C3">
      <w:pPr>
        <w:pStyle w:val="20"/>
        <w:autoSpaceDE w:val="0"/>
        <w:spacing w:line="560" w:lineRule="exact"/>
        <w:rPr>
          <w:rFonts w:ascii="仿宋_GB2312" w:hAnsi="Calibri" w:eastAsia="仿宋_GB2312"/>
          <w:color w:val="auto"/>
          <w:kern w:val="2"/>
          <w:sz w:val="32"/>
          <w:szCs w:val="32"/>
        </w:rPr>
      </w:pPr>
    </w:p>
    <w:p w14:paraId="6DEB4F2C">
      <w:pPr>
        <w:pStyle w:val="20"/>
        <w:autoSpaceDE w:val="0"/>
        <w:spacing w:line="560" w:lineRule="exact"/>
        <w:rPr>
          <w:rFonts w:ascii="仿宋_GB2312" w:hAnsi="Calibri" w:eastAsia="仿宋_GB2312"/>
          <w:color w:val="auto"/>
          <w:kern w:val="2"/>
          <w:sz w:val="32"/>
          <w:szCs w:val="32"/>
        </w:rPr>
      </w:pPr>
    </w:p>
    <w:p w14:paraId="7455CC3E">
      <w:pPr>
        <w:pStyle w:val="20"/>
        <w:autoSpaceDE w:val="0"/>
        <w:spacing w:line="560" w:lineRule="exact"/>
        <w:jc w:val="center"/>
        <w:rPr>
          <w:rFonts w:ascii="黑体" w:hAnsi="黑体" w:eastAsia="黑体"/>
          <w:kern w:val="2"/>
          <w:sz w:val="44"/>
          <w:szCs w:val="44"/>
        </w:rPr>
      </w:pPr>
      <w:r>
        <w:rPr>
          <w:rFonts w:hint="eastAsia" w:ascii="黑体" w:hAnsi="黑体" w:eastAsia="黑体"/>
          <w:kern w:val="2"/>
          <w:sz w:val="44"/>
          <w:szCs w:val="44"/>
        </w:rPr>
        <w:t>广元市公安局交通警察支队</w:t>
      </w:r>
    </w:p>
    <w:p w14:paraId="52BFCFEA">
      <w:pPr>
        <w:pStyle w:val="20"/>
        <w:autoSpaceDE w:val="0"/>
        <w:spacing w:line="560" w:lineRule="exact"/>
        <w:jc w:val="center"/>
        <w:rPr>
          <w:rFonts w:ascii="黑体" w:hAnsi="黑体" w:eastAsia="黑体"/>
          <w:kern w:val="2"/>
          <w:sz w:val="44"/>
          <w:szCs w:val="44"/>
        </w:rPr>
      </w:pPr>
      <w:r>
        <w:rPr>
          <w:rFonts w:hint="eastAsia" w:ascii="黑体" w:hAnsi="黑体" w:eastAsia="黑体"/>
          <w:kern w:val="2"/>
          <w:sz w:val="44"/>
          <w:szCs w:val="44"/>
        </w:rPr>
        <w:t>气相色谱仪购置绩效自评报告</w:t>
      </w:r>
    </w:p>
    <w:p w14:paraId="497DC16F">
      <w:pPr>
        <w:pStyle w:val="20"/>
        <w:autoSpaceDE w:val="0"/>
        <w:spacing w:line="560" w:lineRule="exact"/>
        <w:ind w:firstLine="640"/>
        <w:jc w:val="center"/>
        <w:rPr>
          <w:rFonts w:ascii="仿宋_GB2312" w:hAnsi="Times New Roman" w:eastAsia="仿宋_GB2312"/>
          <w:kern w:val="2"/>
          <w:sz w:val="32"/>
          <w:szCs w:val="32"/>
        </w:rPr>
      </w:pPr>
      <w:r>
        <w:rPr>
          <w:rFonts w:hint="eastAsia" w:ascii="仿宋_GB2312" w:hAnsi="Times New Roman" w:eastAsia="仿宋_GB2312"/>
          <w:kern w:val="2"/>
          <w:sz w:val="32"/>
          <w:szCs w:val="32"/>
        </w:rPr>
        <w:t xml:space="preserve"> </w:t>
      </w:r>
    </w:p>
    <w:p w14:paraId="294186D1">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一、项目概况</w:t>
      </w:r>
    </w:p>
    <w:p w14:paraId="1358622B">
      <w:pPr>
        <w:autoSpaceDE w:val="0"/>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（一）设立背景及基本情况。</w:t>
      </w:r>
      <w:r>
        <w:rPr>
          <w:rFonts w:hint="eastAsia" w:ascii="仿宋_GB2312" w:eastAsia="仿宋_GB2312"/>
          <w:sz w:val="32"/>
          <w:szCs w:val="32"/>
        </w:rPr>
        <w:t>根据《中华人民共和国道路交通安全法实施条例》第一百零五条"机动车驾驶人有饮酒、醉酒、服用国家管制的精神药品或者麻醉药品嫌疑的，应当接受测试、检验。"《公安机关办理行政案件程序规定》第八十七条第一款"为了查明案情，需要对专门技术问题进行鉴定的，应当指派或者聘请具有专门知识的人员进行。"第一百条"鉴定费用由公安机关承担，但当事人自行鉴定的除外。"《公安机关办理刑事案件程序规定》第二百四十八条"为了查明案情，解决案件中某些专门性问题，应当指派、聘请有专门知识的人进行鉴定。"国家市场监督管理总局和国家标准化管理委员会联合发布了乙醇检验的新方法（《GB/T42430-2023 血液、尿液中乙醇、甲醇、正丙醇、丙酮、异丙醇和正丁醇检验》),将于2024年3月1日实施，该方法为国家标准，具有强制性。该方法规定使用顶空气相色谱仪（HS/GC）对乙醇进行定性定量检测须用两种不同的色谱柱系统，现有采购于2011年的岛津顶空气相色谱仪（仪器型GC 2010Plus)，其硬件已不能满足检验要求，加之设备使用时间较久（使用年限一般为5--10年），部分附件老化，需经常维修维护，已不能满足工作需要。为了保证检验的合法性、合规性，保障全市公安交警部门乙醇定性、定量检验工作顺利开展，经前期充分会商论证，急需采购1台带进样分流装置的顶空气相色谱仪。</w:t>
      </w:r>
    </w:p>
    <w:p w14:paraId="6E5DFEC7">
      <w:pPr>
        <w:autoSpaceDE w:val="0"/>
        <w:spacing w:after="240" w:line="560" w:lineRule="exact"/>
        <w:ind w:firstLine="643" w:firstLineChars="200"/>
        <w:jc w:val="left"/>
        <w:rPr>
          <w:rFonts w:ascii="仿宋_GB2312" w:eastAsia="仿宋_GB2312"/>
          <w:kern w:val="0"/>
          <w:sz w:val="32"/>
          <w:szCs w:val="32"/>
          <w:shd w:val="clear" w:color="auto" w:fill="FFFFFF"/>
        </w:rPr>
      </w:pPr>
      <w:r>
        <w:rPr>
          <w:rFonts w:hint="eastAsia" w:ascii="仿宋_GB2312" w:eastAsia="仿宋_GB2312"/>
          <w:b/>
          <w:sz w:val="32"/>
          <w:szCs w:val="32"/>
        </w:rPr>
        <w:t>（二）实施目的及支持方向。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通过完善标线、新增及改造交通信号灯等设施，旨在提高道路行车安全，增强城区主干道路通行能力，降低道路交通违法行为的发生</w:t>
      </w:r>
      <w:r>
        <w:rPr>
          <w:rFonts w:hint="eastAsia" w:ascii="仿宋_GB2312" w:eastAsia="仿宋_GB2312"/>
          <w:kern w:val="0"/>
          <w:sz w:val="32"/>
          <w:szCs w:val="32"/>
          <w:shd w:val="clear" w:color="auto" w:fill="FFFFFF"/>
        </w:rPr>
        <w:t>。</w:t>
      </w:r>
    </w:p>
    <w:p w14:paraId="0DEA7A14">
      <w:pPr>
        <w:autoSpaceDE w:val="0"/>
        <w:spacing w:after="240" w:line="560" w:lineRule="exact"/>
        <w:ind w:firstLine="643" w:firstLineChars="200"/>
        <w:jc w:val="left"/>
        <w:rPr>
          <w:rFonts w:ascii="仿宋_GB2312" w:eastAsia="仿宋_GB2312"/>
          <w:kern w:val="0"/>
          <w:sz w:val="32"/>
          <w:szCs w:val="32"/>
          <w:shd w:val="clear" w:color="auto" w:fill="FFFFFF"/>
        </w:rPr>
      </w:pPr>
      <w:r>
        <w:rPr>
          <w:rFonts w:hint="eastAsia" w:ascii="仿宋_GB2312" w:eastAsia="仿宋_GB2312"/>
          <w:b/>
          <w:sz w:val="32"/>
          <w:szCs w:val="32"/>
        </w:rPr>
        <w:t>（三）预算安排及分配管理。</w:t>
      </w:r>
      <w:r>
        <w:rPr>
          <w:rFonts w:hint="eastAsia" w:ascii="仿宋_GB2312" w:eastAsia="仿宋_GB2312"/>
          <w:kern w:val="0"/>
          <w:sz w:val="32"/>
          <w:szCs w:val="32"/>
          <w:shd w:val="clear" w:color="auto" w:fill="FFFFFF"/>
        </w:rPr>
        <w:t>项目预算安排85万元，项目资金主要用于购置气相色谱仪。</w:t>
      </w:r>
    </w:p>
    <w:p w14:paraId="4355163F">
      <w:pPr>
        <w:autoSpaceDE w:val="0"/>
        <w:spacing w:after="240" w:line="560" w:lineRule="exact"/>
        <w:ind w:firstLine="643" w:firstLineChars="200"/>
        <w:jc w:val="left"/>
        <w:rPr>
          <w:rFonts w:ascii="仿宋_GB2312" w:eastAsia="仿宋_GB2312"/>
          <w:kern w:val="0"/>
          <w:sz w:val="32"/>
          <w:szCs w:val="32"/>
          <w:shd w:val="clear" w:color="auto" w:fill="FFFFFF"/>
        </w:rPr>
      </w:pPr>
      <w:r>
        <w:rPr>
          <w:rFonts w:hint="eastAsia" w:ascii="仿宋_GB2312" w:eastAsia="仿宋_GB2312"/>
          <w:b/>
          <w:sz w:val="32"/>
          <w:szCs w:val="32"/>
        </w:rPr>
        <w:t>（四）项目绩效目标设置。</w:t>
      </w:r>
      <w:r>
        <w:rPr>
          <w:rFonts w:hint="eastAsia" w:ascii="仿宋_GB2312" w:eastAsia="仿宋_GB2312"/>
          <w:sz w:val="32"/>
          <w:szCs w:val="32"/>
        </w:rPr>
        <w:t>2024年，根据预算绩效管理要求，在绩效目标编制阶段，能够科学、合理的设置绩效目标，充分考虑项目的差异性，使绩效目标内容完整，细化量化，可操作性强，与预算匹配。成立了以支队长任组长的项目自评领导小组，下设办公室具体负责自评工作，采取现场查看等方式开展自评工作。</w:t>
      </w:r>
    </w:p>
    <w:p w14:paraId="766321A1">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二、评价实施</w:t>
      </w:r>
    </w:p>
    <w:p w14:paraId="02A961FA">
      <w:pPr>
        <w:spacing w:line="560" w:lineRule="exact"/>
        <w:ind w:firstLine="640"/>
        <w:rPr>
          <w:rFonts w:ascii="仿宋_GB2312" w:eastAsia="仿宋_GB2312"/>
          <w:sz w:val="32"/>
          <w:szCs w:val="32"/>
        </w:rPr>
      </w:pPr>
      <w:r>
        <w:rPr>
          <w:rFonts w:hint="eastAsia" w:ascii="仿宋_GB2312" w:eastAsia="仿宋_GB2312"/>
          <w:b/>
          <w:sz w:val="32"/>
          <w:szCs w:val="32"/>
        </w:rPr>
        <w:t>（一）评价目的。</w:t>
      </w:r>
      <w:r>
        <w:rPr>
          <w:rFonts w:hint="eastAsia" w:ascii="仿宋_GB2312" w:eastAsia="仿宋_GB2312"/>
          <w:sz w:val="32"/>
          <w:szCs w:val="32"/>
        </w:rPr>
        <w:t>通过项目绩效自评，主要结合资金使用情况，查看项目资金发挥的效益情况，是否实现绩效目标。</w:t>
      </w:r>
    </w:p>
    <w:p w14:paraId="70BFCF10">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（二）预设问题及评价重点。</w:t>
      </w:r>
      <w:r>
        <w:rPr>
          <w:rFonts w:hint="eastAsia" w:ascii="仿宋_GB2312" w:hAnsi="宋体" w:eastAsia="仿宋_GB2312"/>
          <w:sz w:val="32"/>
          <w:szCs w:val="32"/>
        </w:rPr>
        <w:t>预设问题为采购项目是否严格按照相求要求应采尽采；评价重点在于是否</w:t>
      </w:r>
      <w:r>
        <w:rPr>
          <w:rFonts w:hint="eastAsia" w:ascii="仿宋_GB2312" w:hAnsi="宋体" w:eastAsia="仿宋_GB2312" w:cs="宋体"/>
          <w:kern w:val="0"/>
          <w:sz w:val="32"/>
          <w:szCs w:val="32"/>
        </w:rPr>
        <w:t>能够满足检验需求。</w:t>
      </w:r>
    </w:p>
    <w:p w14:paraId="3C03A9F7">
      <w:pPr>
        <w:autoSpaceDE w:val="0"/>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（三）评价选点。</w:t>
      </w:r>
      <w:r>
        <w:rPr>
          <w:rFonts w:hint="eastAsia" w:ascii="仿宋_GB2312" w:eastAsia="仿宋_GB2312"/>
          <w:sz w:val="32"/>
          <w:szCs w:val="32"/>
        </w:rPr>
        <w:t>项目绩效自评采取实地勘察设备运行情况，查看项目效益情况。</w:t>
      </w:r>
    </w:p>
    <w:p w14:paraId="56696D33">
      <w:pPr>
        <w:adjustRightInd w:val="0"/>
        <w:snapToGrid w:val="0"/>
        <w:spacing w:line="560" w:lineRule="exact"/>
        <w:ind w:firstLine="720"/>
        <w:rPr>
          <w:rFonts w:ascii="仿宋_GB2312" w:eastAsia="仿宋_GB2312"/>
          <w:sz w:val="32"/>
          <w:szCs w:val="32"/>
        </w:rPr>
      </w:pPr>
      <w:r>
        <w:rPr>
          <w:rFonts w:hint="eastAsia" w:ascii="仿宋_GB2312" w:eastAsia="仿宋_GB2312"/>
          <w:b/>
          <w:sz w:val="32"/>
          <w:szCs w:val="32"/>
        </w:rPr>
        <w:t>（四）评价方法。</w:t>
      </w:r>
      <w:r>
        <w:rPr>
          <w:rFonts w:hint="eastAsia" w:ascii="仿宋_GB2312" w:eastAsia="仿宋_GB2312"/>
          <w:sz w:val="32"/>
          <w:szCs w:val="32"/>
        </w:rPr>
        <w:t>该项目采取了调阅资料的方式开展自评工作。</w:t>
      </w:r>
    </w:p>
    <w:p w14:paraId="6122B5BE">
      <w:pPr>
        <w:adjustRightInd w:val="0"/>
        <w:snapToGrid w:val="0"/>
        <w:spacing w:line="560" w:lineRule="exact"/>
        <w:ind w:firstLine="720"/>
        <w:rPr>
          <w:rFonts w:ascii="仿宋_GB2312" w:eastAsia="仿宋_GB2312"/>
          <w:sz w:val="32"/>
          <w:szCs w:val="32"/>
        </w:rPr>
      </w:pPr>
      <w:r>
        <w:rPr>
          <w:rFonts w:hint="eastAsia" w:ascii="仿宋_GB2312" w:eastAsia="仿宋_GB2312"/>
          <w:b/>
          <w:sz w:val="32"/>
          <w:szCs w:val="32"/>
        </w:rPr>
        <w:t>（五）评价组织。</w:t>
      </w:r>
      <w:r>
        <w:rPr>
          <w:rFonts w:hint="eastAsia" w:ascii="仿宋_GB2312" w:eastAsia="仿宋_GB2312"/>
          <w:sz w:val="32"/>
          <w:szCs w:val="32"/>
        </w:rPr>
        <w:t>支队高度重视项目绩效自查自评工作，成立了以支队长任组长的项目自评领导小组，具体项目自评由相关责任科室牵头开展自评。</w:t>
      </w:r>
    </w:p>
    <w:p w14:paraId="520EC7DB">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三、绩效分析</w:t>
      </w:r>
      <w:r>
        <w:rPr>
          <w:rFonts w:hint="eastAsia" w:ascii="黑体" w:hAnsi="黑体" w:eastAsia="黑体"/>
          <w:sz w:val="32"/>
          <w:szCs w:val="32"/>
        </w:rPr>
        <w:tab/>
      </w:r>
    </w:p>
    <w:p w14:paraId="2DE2B4D1">
      <w:pPr>
        <w:autoSpaceDE w:val="0"/>
        <w:spacing w:line="560" w:lineRule="exact"/>
        <w:ind w:firstLine="321" w:firstLineChars="100"/>
        <w:rPr>
          <w:rFonts w:ascii="仿宋_GB2312" w:eastAsia="仿宋_GB2312"/>
          <w:b/>
          <w:sz w:val="32"/>
          <w:szCs w:val="32"/>
        </w:rPr>
      </w:pPr>
      <w:r>
        <w:rPr>
          <w:rFonts w:hint="eastAsia" w:ascii="仿宋_GB2312" w:eastAsia="仿宋_GB2312"/>
          <w:b/>
          <w:sz w:val="32"/>
          <w:szCs w:val="32"/>
        </w:rPr>
        <w:t>（一）通用指标</w:t>
      </w:r>
      <w:r>
        <w:rPr>
          <w:rFonts w:hint="eastAsia" w:ascii="仿宋_GB2312" w:eastAsia="仿宋_GB2312"/>
          <w:b/>
          <w:kern w:val="0"/>
          <w:sz w:val="32"/>
          <w:szCs w:val="32"/>
          <w:shd w:val="clear" w:color="auto" w:fill="FFFFFF"/>
        </w:rPr>
        <w:t>绩效分析。</w:t>
      </w:r>
    </w:p>
    <w:p w14:paraId="2C100265">
      <w:pPr>
        <w:autoSpaceDE w:val="0"/>
        <w:spacing w:line="560" w:lineRule="exact"/>
        <w:ind w:firstLine="640"/>
        <w:rPr>
          <w:rFonts w:ascii="仿宋_GB2312" w:hAnsi="楷体" w:eastAsia="仿宋_GB2312"/>
          <w:sz w:val="32"/>
          <w:szCs w:val="32"/>
        </w:rPr>
      </w:pPr>
      <w:r>
        <w:rPr>
          <w:rFonts w:hint="eastAsia" w:ascii="仿宋_GB2312" w:eastAsia="仿宋_GB2312"/>
          <w:sz w:val="32"/>
          <w:szCs w:val="32"/>
        </w:rPr>
        <w:t>1.项目决策（18分）。</w:t>
      </w:r>
      <w:r>
        <w:rPr>
          <w:rFonts w:hint="eastAsia" w:ascii="仿宋_GB2312" w:hAnsi="楷体" w:eastAsia="仿宋_GB2312"/>
          <w:sz w:val="32"/>
          <w:szCs w:val="32"/>
        </w:rPr>
        <w:t>该项目由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14:paraId="565268C1">
      <w:pPr>
        <w:spacing w:line="560" w:lineRule="exact"/>
        <w:ind w:firstLine="640" w:firstLineChars="200"/>
        <w:rPr>
          <w:rFonts w:ascii="仿宋_GB2312" w:hAnsi="Times New Roman" w:eastAsia="仿宋_GB2312"/>
          <w:sz w:val="32"/>
          <w:szCs w:val="32"/>
        </w:rPr>
      </w:pPr>
      <w:r>
        <w:rPr>
          <w:rFonts w:hint="eastAsia" w:ascii="仿宋_GB2312" w:eastAsia="仿宋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w:t>
      </w:r>
      <w:r>
        <w:rPr>
          <w:rFonts w:hint="eastAsia" w:ascii="仿宋_GB2312" w:eastAsia="仿宋_GB2312"/>
          <w:sz w:val="32"/>
          <w:szCs w:val="32"/>
        </w:rPr>
        <w:t>严格遵照《中华人民共和国招投标法》，凡达到政府采购标准的，全部进行公开招标和采购。确保支队项目规范采购，按期优质完成；同时，还安排了具体人员负责技术指导和监督，按照标准和合同，严把质量关、进度关，确保项目按期进行和达到预期目标。</w:t>
      </w:r>
    </w:p>
    <w:p w14:paraId="3FB90949">
      <w:pPr>
        <w:spacing w:line="560" w:lineRule="exact"/>
        <w:ind w:firstLine="640" w:firstLineChars="200"/>
        <w:rPr>
          <w:rFonts w:ascii="仿宋_GB2312" w:eastAsia="仿宋_GB2312"/>
          <w:sz w:val="32"/>
          <w:szCs w:val="32"/>
        </w:rPr>
      </w:pPr>
      <w:r>
        <w:rPr>
          <w:rFonts w:hint="eastAsia" w:ascii="仿宋_GB2312" w:eastAsia="仿宋_GB2312"/>
          <w:sz w:val="32"/>
          <w:szCs w:val="32"/>
        </w:rPr>
        <w:t>3.项目实施（9分）。该项目</w:t>
      </w:r>
      <w:r>
        <w:rPr>
          <w:rFonts w:hint="eastAsia" w:ascii="仿宋_GB2312" w:hAnsi="宋体" w:eastAsia="仿宋_GB2312"/>
          <w:sz w:val="32"/>
          <w:szCs w:val="32"/>
        </w:rPr>
        <w:t>资金已按照政府采购价格</w:t>
      </w:r>
      <w:r>
        <w:rPr>
          <w:rFonts w:hint="eastAsia" w:ascii="仿宋_GB2312" w:eastAsia="仿宋_GB2312"/>
          <w:sz w:val="32"/>
          <w:szCs w:val="32"/>
        </w:rPr>
        <w:t>100%</w:t>
      </w:r>
      <w:r>
        <w:rPr>
          <w:rFonts w:hint="eastAsia" w:ascii="仿宋_GB2312" w:hAnsi="宋体" w:eastAsia="仿宋_GB2312"/>
          <w:sz w:val="32"/>
          <w:szCs w:val="32"/>
        </w:rPr>
        <w:t>支付，</w:t>
      </w:r>
      <w:r>
        <w:rPr>
          <w:rFonts w:hint="eastAsia" w:ascii="仿宋_GB2312" w:hAnsi="宋体" w:eastAsia="仿宋_GB2312" w:cs="宋体"/>
          <w:kern w:val="0"/>
          <w:sz w:val="32"/>
          <w:szCs w:val="32"/>
        </w:rPr>
        <w:t>狠抓了经费“</w:t>
      </w:r>
      <w:r>
        <w:rPr>
          <w:rFonts w:hint="eastAsia" w:ascii="仿宋_GB2312" w:eastAsia="仿宋_GB2312"/>
          <w:sz w:val="32"/>
          <w:szCs w:val="32"/>
        </w:rPr>
        <w:t>使用审批”、“预算执行”、“管理监督”三个环节，硬化了预算约束。</w:t>
      </w:r>
    </w:p>
    <w:p w14:paraId="062C73B4">
      <w:pPr>
        <w:spacing w:line="560" w:lineRule="exact"/>
        <w:ind w:firstLine="640" w:firstLineChars="200"/>
        <w:rPr>
          <w:rFonts w:ascii="仿宋_GB2312" w:eastAsia="仿宋_GB2312"/>
          <w:sz w:val="32"/>
          <w:szCs w:val="32"/>
        </w:rPr>
      </w:pPr>
      <w:r>
        <w:rPr>
          <w:rFonts w:hint="eastAsia" w:ascii="仿宋_GB2312" w:eastAsia="仿宋_GB2312"/>
          <w:sz w:val="32"/>
          <w:szCs w:val="32"/>
        </w:rPr>
        <w:t>4.项目结果（8.25分）。自2024年8月投入使用该设备，共认定醉驾数量546起，查处酒驾数量1323起，检验酒驾血样1858次。</w:t>
      </w:r>
    </w:p>
    <w:p w14:paraId="35E411B7">
      <w:pPr>
        <w:autoSpaceDE w:val="0"/>
        <w:spacing w:line="560" w:lineRule="exact"/>
        <w:ind w:firstLine="643" w:firstLineChars="200"/>
        <w:rPr>
          <w:rFonts w:ascii="仿宋_GB2312" w:eastAsia="仿宋_GB2312"/>
          <w:sz w:val="32"/>
          <w:szCs w:val="32"/>
        </w:rPr>
      </w:pPr>
      <w:r>
        <w:rPr>
          <w:rFonts w:hint="eastAsia" w:ascii="仿宋_GB2312" w:eastAsia="仿宋_GB2312"/>
          <w:b/>
          <w:sz w:val="32"/>
          <w:szCs w:val="32"/>
        </w:rPr>
        <w:t>（二）专用指标绩效分析（30分）。</w:t>
      </w:r>
      <w:r>
        <w:rPr>
          <w:rFonts w:hint="eastAsia" w:ascii="仿宋_GB2312" w:eastAsia="仿宋_GB2312"/>
          <w:sz w:val="32"/>
          <w:szCs w:val="32"/>
        </w:rPr>
        <w:t>该项目属行政运转类项目，政府采购程序、资金使用合法合规，通过投入使用该设备，为全市交警部门查处酒驾案件提供了证据，在一定程度上也震慑了广大机动车驾驶员。</w:t>
      </w:r>
    </w:p>
    <w:p w14:paraId="7CF57FF9">
      <w:pPr>
        <w:autoSpaceDE w:val="0"/>
        <w:spacing w:line="560" w:lineRule="exact"/>
        <w:ind w:firstLine="640"/>
        <w:rPr>
          <w:rFonts w:ascii="仿宋_GB2312" w:eastAsia="仿宋_GB2312"/>
          <w:sz w:val="32"/>
          <w:szCs w:val="32"/>
        </w:rPr>
      </w:pPr>
      <w:r>
        <w:rPr>
          <w:rFonts w:hint="eastAsia" w:ascii="仿宋_GB2312" w:eastAsia="仿宋_GB2312"/>
          <w:b/>
          <w:sz w:val="32"/>
          <w:szCs w:val="32"/>
        </w:rPr>
        <w:t>（三）个性指标绩效分析（16分）。</w:t>
      </w:r>
      <w:r>
        <w:rPr>
          <w:rFonts w:hint="eastAsia" w:ascii="仿宋_GB2312" w:eastAsia="仿宋_GB2312"/>
          <w:kern w:val="0"/>
          <w:sz w:val="32"/>
          <w:szCs w:val="32"/>
          <w:shd w:val="clear" w:color="auto" w:fill="FFFFFF"/>
        </w:rPr>
        <w:t>2024年，通过购置气相色谱仪，设备满足了检验需求，</w:t>
      </w:r>
      <w:r>
        <w:rPr>
          <w:rFonts w:hint="eastAsia" w:ascii="仿宋_GB2312" w:eastAsia="仿宋_GB2312"/>
          <w:sz w:val="32"/>
          <w:szCs w:val="32"/>
        </w:rPr>
        <w:t>保证了检验的合法性、合规性，也保障了全市公安交警部门乙醇定性、定量检验工作顺利开展。</w:t>
      </w:r>
    </w:p>
    <w:p w14:paraId="4F76EAE6">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四、评价结论</w:t>
      </w:r>
    </w:p>
    <w:p w14:paraId="3E4B084E">
      <w:pPr>
        <w:spacing w:line="560" w:lineRule="exact"/>
        <w:ind w:firstLine="640" w:firstLineChars="200"/>
        <w:rPr>
          <w:rFonts w:ascii="仿宋_GB2312" w:eastAsia="仿宋_GB2312"/>
          <w:sz w:val="32"/>
          <w:szCs w:val="32"/>
        </w:rPr>
      </w:pPr>
      <w:r>
        <w:rPr>
          <w:rFonts w:hint="eastAsia" w:ascii="仿宋_GB2312" w:eastAsia="仿宋_GB2312"/>
          <w:sz w:val="32"/>
          <w:szCs w:val="32"/>
        </w:rPr>
        <w:t>从评价情况来看，项目的预算资金管理科学合理，使用规范，完成了项目的既定目标，达到了预期使用效果，得分是99.25分。</w:t>
      </w:r>
    </w:p>
    <w:p w14:paraId="2618109A">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14:paraId="3AADDD9F">
      <w:pPr>
        <w:pStyle w:val="5"/>
        <w:autoSpaceDE w:val="0"/>
        <w:spacing w:line="560" w:lineRule="exact"/>
        <w:ind w:firstLine="640" w:firstLineChars="200"/>
        <w:rPr>
          <w:rFonts w:ascii="仿宋_GB2312" w:eastAsia="仿宋_GB2312"/>
          <w:sz w:val="32"/>
          <w:szCs w:val="32"/>
        </w:rPr>
      </w:pPr>
      <w:r>
        <w:rPr>
          <w:rFonts w:hint="eastAsia" w:ascii="仿宋_GB2312" w:eastAsia="仿宋_GB2312"/>
          <w:sz w:val="32"/>
          <w:szCs w:val="32"/>
        </w:rPr>
        <w:t>无。</w:t>
      </w:r>
    </w:p>
    <w:p w14:paraId="6E40F063">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六、改进建议</w:t>
      </w:r>
    </w:p>
    <w:p w14:paraId="2B8C2D70">
      <w:pPr>
        <w:autoSpaceDE w:val="0"/>
        <w:spacing w:line="560" w:lineRule="exact"/>
        <w:jc w:val="left"/>
        <w:rPr>
          <w:rFonts w:ascii="仿宋_GB2312" w:eastAsia="仿宋_GB2312"/>
          <w:kern w:val="0"/>
          <w:sz w:val="32"/>
          <w:szCs w:val="32"/>
        </w:rPr>
      </w:pPr>
      <w:r>
        <w:rPr>
          <w:rFonts w:hint="eastAsia" w:ascii="仿宋_GB2312" w:eastAsia="仿宋_GB2312"/>
          <w:kern w:val="0"/>
          <w:sz w:val="32"/>
          <w:szCs w:val="32"/>
          <w:shd w:val="clear" w:color="auto" w:fill="FFFFFF"/>
        </w:rPr>
        <w:t xml:space="preserve"> </w:t>
      </w:r>
      <w:r>
        <w:rPr>
          <w:rFonts w:hint="eastAsia" w:ascii="仿宋_GB2312" w:eastAsia="仿宋_GB2312"/>
          <w:kern w:val="0"/>
          <w:sz w:val="32"/>
          <w:szCs w:val="32"/>
        </w:rPr>
        <w:t xml:space="preserve">   无。</w:t>
      </w:r>
    </w:p>
    <w:p w14:paraId="78EA4C07">
      <w:pPr>
        <w:autoSpaceDE w:val="0"/>
        <w:snapToGrid w:val="0"/>
        <w:spacing w:line="560" w:lineRule="exact"/>
        <w:ind w:firstLine="640" w:firstLineChars="200"/>
        <w:rPr>
          <w:rFonts w:ascii="仿宋_GB2312" w:eastAsia="仿宋_GB2312"/>
          <w:kern w:val="0"/>
          <w:sz w:val="32"/>
          <w:szCs w:val="32"/>
          <w:shd w:val="clear" w:color="auto" w:fill="FFFFFF"/>
        </w:rPr>
      </w:pPr>
      <w:r>
        <w:rPr>
          <w:rFonts w:hint="eastAsia" w:ascii="仿宋_GB2312" w:eastAsia="仿宋_GB2312"/>
          <w:kern w:val="0"/>
          <w:sz w:val="32"/>
          <w:szCs w:val="32"/>
          <w:shd w:val="clear" w:color="auto" w:fill="FFFFFF"/>
        </w:rPr>
        <w:t xml:space="preserve"> </w:t>
      </w:r>
    </w:p>
    <w:p w14:paraId="3416820E">
      <w:pPr>
        <w:pStyle w:val="20"/>
        <w:autoSpaceDE w:val="0"/>
        <w:spacing w:line="560" w:lineRule="exact"/>
        <w:rPr>
          <w:rFonts w:ascii="仿宋_GB2312" w:hAnsi="Calibri" w:eastAsia="仿宋_GB2312"/>
          <w:color w:val="auto"/>
          <w:kern w:val="2"/>
          <w:sz w:val="32"/>
          <w:szCs w:val="32"/>
        </w:rPr>
      </w:pPr>
    </w:p>
    <w:p w14:paraId="22209158">
      <w:pPr>
        <w:pStyle w:val="20"/>
        <w:autoSpaceDE w:val="0"/>
        <w:spacing w:line="560" w:lineRule="exact"/>
        <w:rPr>
          <w:rFonts w:ascii="仿宋_GB2312" w:hAnsi="Calibri" w:eastAsia="仿宋_GB2312"/>
          <w:color w:val="auto"/>
          <w:kern w:val="2"/>
          <w:sz w:val="32"/>
          <w:szCs w:val="32"/>
        </w:rPr>
      </w:pPr>
    </w:p>
    <w:p w14:paraId="40E8730A">
      <w:pPr>
        <w:pStyle w:val="20"/>
        <w:autoSpaceDE w:val="0"/>
        <w:spacing w:line="560" w:lineRule="exact"/>
        <w:rPr>
          <w:rFonts w:ascii="仿宋_GB2312" w:hAnsi="Times New Roman" w:eastAsia="仿宋_GB2312"/>
          <w:kern w:val="2"/>
          <w:sz w:val="32"/>
          <w:szCs w:val="32"/>
        </w:rPr>
      </w:pPr>
    </w:p>
    <w:p w14:paraId="1CD2A489">
      <w:pPr>
        <w:pStyle w:val="20"/>
        <w:autoSpaceDE w:val="0"/>
        <w:spacing w:line="560" w:lineRule="exact"/>
        <w:jc w:val="center"/>
        <w:rPr>
          <w:rFonts w:ascii="黑体" w:hAnsi="黑体" w:eastAsia="黑体"/>
          <w:kern w:val="2"/>
          <w:sz w:val="44"/>
          <w:szCs w:val="44"/>
        </w:rPr>
      </w:pPr>
      <w:r>
        <w:rPr>
          <w:rFonts w:hint="eastAsia" w:ascii="黑体" w:hAnsi="黑体" w:eastAsia="黑体"/>
          <w:kern w:val="2"/>
          <w:sz w:val="44"/>
          <w:szCs w:val="44"/>
        </w:rPr>
        <w:t>广元市公安局交通警察支队</w:t>
      </w:r>
    </w:p>
    <w:p w14:paraId="5952779A">
      <w:pPr>
        <w:pStyle w:val="20"/>
        <w:autoSpaceDE w:val="0"/>
        <w:spacing w:line="560" w:lineRule="exact"/>
        <w:jc w:val="center"/>
        <w:rPr>
          <w:rFonts w:ascii="黑体" w:hAnsi="黑体" w:eastAsia="黑体"/>
          <w:kern w:val="2"/>
          <w:sz w:val="44"/>
          <w:szCs w:val="44"/>
        </w:rPr>
      </w:pPr>
      <w:r>
        <w:rPr>
          <w:rFonts w:hint="eastAsia" w:ascii="黑体" w:hAnsi="黑体" w:eastAsia="黑体"/>
          <w:kern w:val="2"/>
          <w:sz w:val="44"/>
          <w:szCs w:val="44"/>
        </w:rPr>
        <w:t>全国文明城市创建经费绩效自评报告</w:t>
      </w:r>
    </w:p>
    <w:p w14:paraId="4520E4F1">
      <w:pPr>
        <w:pStyle w:val="20"/>
        <w:autoSpaceDE w:val="0"/>
        <w:spacing w:line="560" w:lineRule="exact"/>
        <w:ind w:firstLine="640"/>
        <w:jc w:val="center"/>
        <w:rPr>
          <w:rFonts w:ascii="仿宋_GB2312" w:hAnsi="Times New Roman" w:eastAsia="仿宋_GB2312"/>
          <w:kern w:val="2"/>
          <w:sz w:val="32"/>
          <w:szCs w:val="32"/>
        </w:rPr>
      </w:pPr>
      <w:r>
        <w:rPr>
          <w:rFonts w:hint="eastAsia" w:ascii="仿宋_GB2312" w:hAnsi="Times New Roman" w:eastAsia="仿宋_GB2312"/>
          <w:kern w:val="2"/>
          <w:sz w:val="32"/>
          <w:szCs w:val="32"/>
        </w:rPr>
        <w:t xml:space="preserve"> </w:t>
      </w:r>
    </w:p>
    <w:p w14:paraId="070B226F">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一、项目概况</w:t>
      </w:r>
    </w:p>
    <w:p w14:paraId="7952AC4C">
      <w:pPr>
        <w:widowControl/>
        <w:autoSpaceDE w:val="0"/>
        <w:adjustRightInd w:val="0"/>
        <w:snapToGrid w:val="0"/>
        <w:spacing w:line="560" w:lineRule="exact"/>
        <w:ind w:firstLine="643" w:firstLineChars="200"/>
        <w:contextualSpacing/>
        <w:jc w:val="left"/>
        <w:rPr>
          <w:rFonts w:ascii="仿宋_GB2312" w:eastAsia="仿宋_GB2312"/>
          <w:kern w:val="0"/>
          <w:sz w:val="32"/>
          <w:szCs w:val="32"/>
          <w:shd w:val="clear" w:color="auto" w:fill="FFFFFF"/>
        </w:rPr>
      </w:pPr>
      <w:r>
        <w:rPr>
          <w:rFonts w:hint="eastAsia" w:ascii="仿宋_GB2312" w:eastAsia="仿宋_GB2312"/>
          <w:b/>
          <w:sz w:val="32"/>
          <w:szCs w:val="32"/>
        </w:rPr>
        <w:t>（一）设立背景及基本情况。</w:t>
      </w:r>
      <w:r>
        <w:rPr>
          <w:rFonts w:hint="eastAsia" w:ascii="仿宋_GB2312" w:eastAsia="仿宋_GB2312"/>
          <w:sz w:val="32"/>
          <w:szCs w:val="32"/>
        </w:rPr>
        <w:t>在创文工作已进入攻坚阶段的背景下，市城区行人“闯红灯”现象仍时有发生，该不文明现象在创文检查中是以视频监控为主，根据市创文工作相关精神，为加强信息化建设，切实解决行人“闯红灯”交通安全问题，需在劳动大厦路口增设行人闯红灯抓拍系统。</w:t>
      </w:r>
    </w:p>
    <w:p w14:paraId="5B54D61F">
      <w:pPr>
        <w:autoSpaceDE w:val="0"/>
        <w:spacing w:after="240" w:line="560" w:lineRule="exact"/>
        <w:ind w:firstLine="643" w:firstLineChars="200"/>
        <w:jc w:val="left"/>
        <w:rPr>
          <w:rFonts w:ascii="仿宋_GB2312" w:eastAsia="仿宋_GB2312"/>
          <w:kern w:val="0"/>
          <w:sz w:val="32"/>
          <w:szCs w:val="32"/>
          <w:shd w:val="clear" w:color="auto" w:fill="FFFFFF"/>
        </w:rPr>
      </w:pPr>
      <w:r>
        <w:rPr>
          <w:rFonts w:hint="eastAsia" w:ascii="仿宋_GB2312" w:eastAsia="仿宋_GB2312"/>
          <w:b/>
          <w:sz w:val="32"/>
          <w:szCs w:val="32"/>
        </w:rPr>
        <w:t>（二）实施目的及支持方向。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通过</w:t>
      </w:r>
      <w:r>
        <w:rPr>
          <w:rFonts w:hint="eastAsia" w:ascii="仿宋_GB2312" w:eastAsia="仿宋_GB2312"/>
          <w:sz w:val="32"/>
          <w:szCs w:val="32"/>
        </w:rPr>
        <w:t>增设行人闯红灯抓拍系统,</w:t>
      </w:r>
      <w:r>
        <w:rPr>
          <w:rFonts w:hint="eastAsia" w:ascii="仿宋_GB2312" w:hAnsi="宋体" w:eastAsia="仿宋_GB2312" w:cs="宋体"/>
          <w:kern w:val="0"/>
          <w:sz w:val="32"/>
          <w:szCs w:val="32"/>
        </w:rPr>
        <w:t>旨在</w:t>
      </w:r>
      <w:r>
        <w:rPr>
          <w:rFonts w:hint="eastAsia" w:ascii="仿宋_GB2312" w:eastAsia="仿宋_GB2312"/>
          <w:sz w:val="32"/>
          <w:szCs w:val="32"/>
        </w:rPr>
        <w:t>解决行人“闯红灯”交通安全问题</w:t>
      </w:r>
      <w:r>
        <w:rPr>
          <w:rFonts w:hint="eastAsia" w:ascii="仿宋_GB2312" w:hAnsi="宋体" w:eastAsia="仿宋_GB2312" w:cs="宋体"/>
          <w:kern w:val="0"/>
          <w:sz w:val="32"/>
          <w:szCs w:val="32"/>
        </w:rPr>
        <w:t>，预防交通事故的发生</w:t>
      </w:r>
      <w:r>
        <w:rPr>
          <w:rFonts w:hint="eastAsia" w:ascii="仿宋_GB2312" w:eastAsia="仿宋_GB2312"/>
          <w:kern w:val="0"/>
          <w:sz w:val="32"/>
          <w:szCs w:val="32"/>
          <w:shd w:val="clear" w:color="auto" w:fill="FFFFFF"/>
        </w:rPr>
        <w:t>。</w:t>
      </w:r>
    </w:p>
    <w:p w14:paraId="02595D1F">
      <w:pPr>
        <w:autoSpaceDE w:val="0"/>
        <w:spacing w:after="240" w:line="560" w:lineRule="exact"/>
        <w:ind w:firstLine="643" w:firstLineChars="200"/>
        <w:jc w:val="left"/>
        <w:rPr>
          <w:rFonts w:ascii="仿宋_GB2312" w:eastAsia="仿宋_GB2312"/>
          <w:kern w:val="0"/>
          <w:sz w:val="32"/>
          <w:szCs w:val="32"/>
          <w:shd w:val="clear" w:color="auto" w:fill="FFFFFF"/>
        </w:rPr>
      </w:pPr>
      <w:r>
        <w:rPr>
          <w:rFonts w:hint="eastAsia" w:ascii="仿宋_GB2312" w:eastAsia="仿宋_GB2312"/>
          <w:b/>
          <w:sz w:val="32"/>
          <w:szCs w:val="32"/>
        </w:rPr>
        <w:t>（三）预算安排及分配管理</w:t>
      </w:r>
      <w:r>
        <w:rPr>
          <w:rFonts w:hint="eastAsia" w:ascii="仿宋_GB2312" w:eastAsia="仿宋_GB2312"/>
          <w:sz w:val="32"/>
          <w:szCs w:val="32"/>
        </w:rPr>
        <w:t>。</w:t>
      </w:r>
      <w:r>
        <w:rPr>
          <w:rFonts w:hint="eastAsia" w:ascii="仿宋_GB2312" w:eastAsia="仿宋_GB2312"/>
          <w:kern w:val="0"/>
          <w:sz w:val="32"/>
          <w:szCs w:val="32"/>
          <w:shd w:val="clear" w:color="auto" w:fill="FFFFFF"/>
        </w:rPr>
        <w:t>项目预算安排22.41万元，资金用于增设行人闯红灯抓拍系统建设。</w:t>
      </w:r>
    </w:p>
    <w:p w14:paraId="3A3FE4FA">
      <w:pPr>
        <w:adjustRightInd w:val="0"/>
        <w:snapToGrid w:val="0"/>
        <w:spacing w:line="560" w:lineRule="exact"/>
        <w:ind w:firstLine="720"/>
        <w:rPr>
          <w:rFonts w:ascii="仿宋_GB2312" w:eastAsia="仿宋_GB2312"/>
          <w:sz w:val="32"/>
          <w:szCs w:val="32"/>
        </w:rPr>
      </w:pPr>
      <w:r>
        <w:rPr>
          <w:rFonts w:hint="eastAsia" w:ascii="仿宋_GB2312" w:eastAsia="仿宋_GB2312"/>
          <w:b/>
          <w:sz w:val="32"/>
          <w:szCs w:val="32"/>
        </w:rPr>
        <w:t>（四）项目绩效目标设置。</w:t>
      </w:r>
      <w:r>
        <w:rPr>
          <w:rFonts w:hint="eastAsia" w:ascii="仿宋_GB2312" w:eastAsia="仿宋_GB2312"/>
          <w:sz w:val="32"/>
          <w:szCs w:val="32"/>
        </w:rPr>
        <w:t>2024年，根据预算绩效管理要求，在绩效目标编制阶段，能够科学、合理的设置绩效目标，充分考虑项目的差异性，使绩效目标内容完整，细化量化，可操作性强，与预算匹配。成立了以支队长任组长的项目自评领导小组，下设办公室具体负责自评工作，采取现场查看等方式开展自评工作。</w:t>
      </w:r>
    </w:p>
    <w:p w14:paraId="7F185AF9">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二、评价实施</w:t>
      </w:r>
    </w:p>
    <w:p w14:paraId="1BF118D0">
      <w:pPr>
        <w:spacing w:line="560" w:lineRule="exact"/>
        <w:ind w:firstLine="640"/>
        <w:rPr>
          <w:rFonts w:ascii="仿宋_GB2312" w:eastAsia="仿宋_GB2312"/>
          <w:sz w:val="32"/>
          <w:szCs w:val="32"/>
        </w:rPr>
      </w:pPr>
      <w:r>
        <w:rPr>
          <w:rFonts w:hint="eastAsia" w:ascii="仿宋_GB2312" w:eastAsia="仿宋_GB2312"/>
          <w:b/>
          <w:sz w:val="32"/>
          <w:szCs w:val="32"/>
        </w:rPr>
        <w:t>（一）评价目的。</w:t>
      </w:r>
      <w:r>
        <w:rPr>
          <w:rFonts w:hint="eastAsia" w:ascii="仿宋_GB2312" w:eastAsia="仿宋_GB2312"/>
          <w:sz w:val="32"/>
          <w:szCs w:val="32"/>
        </w:rPr>
        <w:t>通过项目绩效自评，主要结合资金使用情况，查看项目资金发挥的效益情况，是否实现绩效目标。</w:t>
      </w:r>
    </w:p>
    <w:p w14:paraId="4FD3A5D7">
      <w:pPr>
        <w:autoSpaceDE w:val="0"/>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（二）预设问题及评价重点。</w:t>
      </w:r>
      <w:r>
        <w:rPr>
          <w:rFonts w:hint="eastAsia" w:ascii="仿宋_GB2312" w:hAnsi="宋体" w:eastAsia="仿宋_GB2312"/>
          <w:sz w:val="32"/>
          <w:szCs w:val="32"/>
        </w:rPr>
        <w:t>预设问题及评价重点为增设行人闯红灯抓拍系统后，行人“闯红灯”现象是否减少。</w:t>
      </w:r>
    </w:p>
    <w:p w14:paraId="248C3833">
      <w:pPr>
        <w:autoSpaceDE w:val="0"/>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（三）评价选点。</w:t>
      </w:r>
      <w:r>
        <w:rPr>
          <w:rFonts w:hint="eastAsia" w:ascii="仿宋_GB2312" w:eastAsia="仿宋_GB2312"/>
          <w:sz w:val="32"/>
          <w:szCs w:val="32"/>
        </w:rPr>
        <w:t>项目绩效自评采取实地勘察设备运行情况，查看项目效益情况。</w:t>
      </w:r>
    </w:p>
    <w:p w14:paraId="0256284D">
      <w:pPr>
        <w:adjustRightInd w:val="0"/>
        <w:snapToGrid w:val="0"/>
        <w:spacing w:line="560" w:lineRule="exact"/>
        <w:ind w:firstLine="720"/>
        <w:rPr>
          <w:rFonts w:ascii="仿宋_GB2312" w:eastAsia="仿宋_GB2312"/>
          <w:sz w:val="32"/>
          <w:szCs w:val="32"/>
        </w:rPr>
      </w:pPr>
      <w:r>
        <w:rPr>
          <w:rFonts w:hint="eastAsia" w:ascii="仿宋_GB2312" w:eastAsia="仿宋_GB2312"/>
          <w:b/>
          <w:sz w:val="32"/>
          <w:szCs w:val="32"/>
        </w:rPr>
        <w:t>（四）评价方法。</w:t>
      </w:r>
      <w:r>
        <w:rPr>
          <w:rFonts w:hint="eastAsia" w:ascii="仿宋_GB2312" w:eastAsia="仿宋_GB2312"/>
          <w:sz w:val="32"/>
          <w:szCs w:val="32"/>
        </w:rPr>
        <w:t>该项目采取了实地勘察的方式开展自评工作。</w:t>
      </w:r>
    </w:p>
    <w:p w14:paraId="1323EEB1">
      <w:pPr>
        <w:adjustRightInd w:val="0"/>
        <w:snapToGrid w:val="0"/>
        <w:spacing w:line="560" w:lineRule="exact"/>
        <w:ind w:firstLine="720"/>
        <w:rPr>
          <w:rFonts w:ascii="仿宋_GB2312" w:eastAsia="仿宋_GB2312"/>
          <w:sz w:val="32"/>
          <w:szCs w:val="32"/>
        </w:rPr>
      </w:pPr>
      <w:r>
        <w:rPr>
          <w:rFonts w:hint="eastAsia" w:ascii="仿宋_GB2312" w:eastAsia="仿宋_GB2312"/>
          <w:b/>
          <w:sz w:val="32"/>
          <w:szCs w:val="32"/>
        </w:rPr>
        <w:t>（五）评价组织。</w:t>
      </w:r>
      <w:r>
        <w:rPr>
          <w:rFonts w:hint="eastAsia" w:ascii="仿宋_GB2312" w:eastAsia="仿宋_GB2312"/>
          <w:sz w:val="32"/>
          <w:szCs w:val="32"/>
        </w:rPr>
        <w:t>支队高度重视项目绩效自查自评工作，成立了以支队长任组长的项目自评领导小组，具体项目自评由相关责任科室牵头开展自评。</w:t>
      </w:r>
    </w:p>
    <w:p w14:paraId="5085BE73">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三、绩效分析</w:t>
      </w:r>
      <w:r>
        <w:rPr>
          <w:rFonts w:hint="eastAsia" w:ascii="黑体" w:hAnsi="黑体" w:eastAsia="黑体"/>
          <w:sz w:val="32"/>
          <w:szCs w:val="32"/>
        </w:rPr>
        <w:tab/>
      </w:r>
    </w:p>
    <w:p w14:paraId="34EF8EDD">
      <w:pPr>
        <w:autoSpaceDE w:val="0"/>
        <w:spacing w:line="560" w:lineRule="exact"/>
        <w:ind w:firstLine="640"/>
        <w:rPr>
          <w:rFonts w:ascii="仿宋_GB2312" w:eastAsia="仿宋_GB2312"/>
          <w:b/>
          <w:sz w:val="32"/>
          <w:szCs w:val="32"/>
        </w:rPr>
      </w:pPr>
      <w:r>
        <w:rPr>
          <w:rFonts w:hint="eastAsia" w:ascii="仿宋_GB2312" w:eastAsia="仿宋_GB2312"/>
          <w:b/>
          <w:sz w:val="32"/>
          <w:szCs w:val="32"/>
        </w:rPr>
        <w:t>（一）通用指标</w:t>
      </w:r>
      <w:r>
        <w:rPr>
          <w:rFonts w:hint="eastAsia" w:ascii="仿宋_GB2312" w:eastAsia="仿宋_GB2312"/>
          <w:b/>
          <w:kern w:val="0"/>
          <w:sz w:val="32"/>
          <w:szCs w:val="32"/>
          <w:shd w:val="clear" w:color="auto" w:fill="FFFFFF"/>
        </w:rPr>
        <w:t>绩效分析。</w:t>
      </w:r>
    </w:p>
    <w:p w14:paraId="38CABCC2">
      <w:pPr>
        <w:autoSpaceDE w:val="0"/>
        <w:spacing w:line="560" w:lineRule="exact"/>
        <w:ind w:firstLine="640"/>
        <w:rPr>
          <w:rFonts w:ascii="仿宋_GB2312" w:hAnsi="楷体" w:eastAsia="仿宋_GB2312"/>
          <w:sz w:val="32"/>
          <w:szCs w:val="32"/>
        </w:rPr>
      </w:pPr>
      <w:r>
        <w:rPr>
          <w:rFonts w:hint="eastAsia" w:ascii="仿宋_GB2312" w:eastAsia="仿宋_GB2312"/>
          <w:sz w:val="32"/>
          <w:szCs w:val="32"/>
        </w:rPr>
        <w:t>1.项目决策（18分）。</w:t>
      </w:r>
      <w:r>
        <w:rPr>
          <w:rFonts w:hint="eastAsia" w:ascii="仿宋_GB2312" w:hAnsi="楷体" w:eastAsia="仿宋_GB2312"/>
          <w:sz w:val="32"/>
          <w:szCs w:val="32"/>
        </w:rPr>
        <w:t>该项目由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14:paraId="5D7A2231">
      <w:pPr>
        <w:autoSpaceDE w:val="0"/>
        <w:spacing w:line="560" w:lineRule="exact"/>
        <w:ind w:firstLine="640"/>
        <w:rPr>
          <w:rFonts w:ascii="仿宋_GB2312" w:hAnsi="Times New Roman" w:eastAsia="仿宋_GB2312"/>
          <w:sz w:val="32"/>
          <w:szCs w:val="32"/>
        </w:rPr>
      </w:pPr>
      <w:r>
        <w:rPr>
          <w:rFonts w:hint="eastAsia" w:ascii="仿宋_GB2312" w:eastAsia="仿宋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w:t>
      </w:r>
      <w:r>
        <w:rPr>
          <w:rFonts w:hint="eastAsia" w:ascii="仿宋_GB2312" w:eastAsia="仿宋_GB2312"/>
          <w:sz w:val="32"/>
          <w:szCs w:val="32"/>
        </w:rPr>
        <w:t>严格遵照《中华人民共和国招投标法》，凡达到政府采购标准的，全部进行公开招标和采购。确保支队项目规范采购，按期优质完成；同时，还安排了具体人员负责技术指导和监督，按照相关标准，严把质量关、进度关，确保项目按期进行和达到预期目标。</w:t>
      </w:r>
    </w:p>
    <w:p w14:paraId="4F89C4BB">
      <w:pPr>
        <w:spacing w:line="560" w:lineRule="exact"/>
        <w:ind w:firstLine="640" w:firstLineChars="200"/>
        <w:rPr>
          <w:rFonts w:ascii="仿宋_GB2312" w:eastAsia="仿宋_GB2312"/>
          <w:sz w:val="32"/>
          <w:szCs w:val="32"/>
        </w:rPr>
      </w:pPr>
      <w:r>
        <w:rPr>
          <w:rFonts w:hint="eastAsia" w:ascii="仿宋_GB2312" w:eastAsia="仿宋_GB2312"/>
          <w:sz w:val="32"/>
          <w:szCs w:val="32"/>
        </w:rPr>
        <w:t>3.项目实施（9分）。该项目</w:t>
      </w:r>
      <w:r>
        <w:rPr>
          <w:rFonts w:hint="eastAsia" w:ascii="仿宋_GB2312" w:hAnsi="宋体" w:eastAsia="仿宋_GB2312"/>
          <w:sz w:val="32"/>
          <w:szCs w:val="32"/>
        </w:rPr>
        <w:t>资金已</w:t>
      </w:r>
      <w:r>
        <w:rPr>
          <w:rFonts w:hint="eastAsia" w:ascii="仿宋_GB2312" w:eastAsia="仿宋_GB2312"/>
          <w:sz w:val="32"/>
          <w:szCs w:val="32"/>
        </w:rPr>
        <w:t>100%</w:t>
      </w:r>
      <w:r>
        <w:rPr>
          <w:rFonts w:hint="eastAsia" w:ascii="仿宋_GB2312" w:hAnsi="宋体" w:eastAsia="仿宋_GB2312"/>
          <w:sz w:val="32"/>
          <w:szCs w:val="32"/>
        </w:rPr>
        <w:t>支付，</w:t>
      </w:r>
      <w:r>
        <w:rPr>
          <w:rFonts w:hint="eastAsia" w:ascii="仿宋_GB2312" w:hAnsi="宋体" w:eastAsia="仿宋_GB2312" w:cs="宋体"/>
          <w:kern w:val="0"/>
          <w:sz w:val="32"/>
          <w:szCs w:val="32"/>
        </w:rPr>
        <w:t>狠抓了经费“</w:t>
      </w:r>
      <w:r>
        <w:rPr>
          <w:rFonts w:hint="eastAsia" w:ascii="仿宋_GB2312" w:eastAsia="仿宋_GB2312"/>
          <w:sz w:val="32"/>
          <w:szCs w:val="32"/>
        </w:rPr>
        <w:t>使用审批”、“预算执行”、“管理监督”三个环节，硬化了预算约束。</w:t>
      </w:r>
    </w:p>
    <w:p w14:paraId="3CC48BFD">
      <w:pPr>
        <w:spacing w:line="560" w:lineRule="exact"/>
        <w:ind w:firstLine="640" w:firstLineChars="200"/>
        <w:rPr>
          <w:rFonts w:ascii="仿宋_GB2312" w:eastAsia="仿宋_GB2312"/>
          <w:sz w:val="32"/>
          <w:szCs w:val="32"/>
        </w:rPr>
      </w:pPr>
      <w:r>
        <w:rPr>
          <w:rFonts w:hint="eastAsia" w:ascii="仿宋_GB2312" w:eastAsia="仿宋_GB2312"/>
          <w:sz w:val="32"/>
          <w:szCs w:val="32"/>
        </w:rPr>
        <w:t>4.项目结果（9分）。自使用该行人闯红灯抓拍系统后，对行人起到了一定的震慑作用，闯红灯现象也有所下降，也为文明城市创建工作贡献了力量。</w:t>
      </w:r>
    </w:p>
    <w:p w14:paraId="2EEE7DCE">
      <w:pPr>
        <w:autoSpaceDE w:val="0"/>
        <w:spacing w:line="560" w:lineRule="exact"/>
        <w:ind w:firstLine="643" w:firstLineChars="200"/>
        <w:rPr>
          <w:rFonts w:ascii="仿宋_GB2312" w:eastAsia="仿宋_GB2312"/>
          <w:sz w:val="32"/>
          <w:szCs w:val="32"/>
        </w:rPr>
      </w:pPr>
      <w:r>
        <w:rPr>
          <w:rFonts w:hint="eastAsia" w:ascii="仿宋_GB2312" w:eastAsia="仿宋_GB2312"/>
          <w:b/>
          <w:sz w:val="32"/>
          <w:szCs w:val="32"/>
        </w:rPr>
        <w:t>（二）专用指标</w:t>
      </w:r>
      <w:r>
        <w:rPr>
          <w:rFonts w:hint="eastAsia" w:ascii="仿宋_GB2312" w:eastAsia="仿宋_GB2312"/>
          <w:b/>
          <w:kern w:val="0"/>
          <w:sz w:val="32"/>
          <w:szCs w:val="32"/>
          <w:shd w:val="clear" w:color="auto" w:fill="FFFFFF"/>
        </w:rPr>
        <w:t>绩效分析</w:t>
      </w:r>
      <w:r>
        <w:rPr>
          <w:rFonts w:hint="eastAsia" w:ascii="仿宋_GB2312" w:eastAsia="仿宋_GB2312"/>
          <w:b/>
          <w:sz w:val="32"/>
          <w:szCs w:val="32"/>
        </w:rPr>
        <w:t>（30分）</w:t>
      </w:r>
      <w:r>
        <w:rPr>
          <w:rFonts w:hint="eastAsia" w:ascii="仿宋_GB2312" w:eastAsia="仿宋_GB2312"/>
          <w:b/>
          <w:kern w:val="0"/>
          <w:sz w:val="32"/>
          <w:szCs w:val="32"/>
          <w:shd w:val="clear" w:color="auto" w:fill="FFFFFF"/>
        </w:rPr>
        <w:t>。</w:t>
      </w:r>
      <w:r>
        <w:rPr>
          <w:rFonts w:hint="eastAsia" w:ascii="仿宋_GB2312" w:eastAsia="仿宋_GB2312"/>
          <w:sz w:val="32"/>
          <w:szCs w:val="32"/>
        </w:rPr>
        <w:t>该项目属行政运转类项目，资金使用合法合规，一方面，加强了信息化建设，另一方面，不断提升了市民对交通出行的满意度。</w:t>
      </w:r>
    </w:p>
    <w:p w14:paraId="0F9732FD">
      <w:pPr>
        <w:autoSpaceDE w:val="0"/>
        <w:spacing w:line="560" w:lineRule="exact"/>
        <w:ind w:firstLine="643" w:firstLineChars="200"/>
        <w:rPr>
          <w:rFonts w:ascii="仿宋_GB2312" w:eastAsia="仿宋_GB2312"/>
          <w:sz w:val="32"/>
          <w:szCs w:val="32"/>
        </w:rPr>
      </w:pPr>
      <w:r>
        <w:rPr>
          <w:rFonts w:hint="eastAsia" w:ascii="仿宋_GB2312" w:eastAsia="仿宋_GB2312"/>
          <w:b/>
          <w:sz w:val="32"/>
          <w:szCs w:val="32"/>
        </w:rPr>
        <w:t>（三）个性指标绩效分析（16分）。</w:t>
      </w:r>
      <w:r>
        <w:rPr>
          <w:rFonts w:hint="eastAsia" w:ascii="仿宋_GB2312" w:eastAsia="仿宋_GB2312"/>
          <w:sz w:val="32"/>
          <w:szCs w:val="32"/>
        </w:rPr>
        <w:t>通过增设行人闯红灯抓拍系统，不仅减少了不文明现象，也在一定程度上预防了道路交通事故的发生。</w:t>
      </w:r>
    </w:p>
    <w:p w14:paraId="595C3A2E">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四、评价结论</w:t>
      </w:r>
    </w:p>
    <w:p w14:paraId="02952798">
      <w:pPr>
        <w:pStyle w:val="5"/>
        <w:autoSpaceDE w:val="0"/>
        <w:spacing w:line="560" w:lineRule="exact"/>
        <w:ind w:firstLine="640" w:firstLineChars="200"/>
        <w:rPr>
          <w:rFonts w:ascii="仿宋_GB2312" w:eastAsia="仿宋_GB2312"/>
          <w:sz w:val="32"/>
          <w:szCs w:val="32"/>
        </w:rPr>
      </w:pPr>
      <w:r>
        <w:rPr>
          <w:rFonts w:hint="eastAsia" w:ascii="仿宋_GB2312" w:eastAsia="仿宋_GB2312"/>
          <w:sz w:val="32"/>
          <w:szCs w:val="32"/>
        </w:rPr>
        <w:t>从评价情况来看，项目的预算资金管理科学合理，使用规范，完成了项目的既定目标，达到了预期使用效果，得分是100分。</w:t>
      </w:r>
    </w:p>
    <w:p w14:paraId="1AD7280C">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14:paraId="45F6DE89">
      <w:pPr>
        <w:pStyle w:val="5"/>
        <w:autoSpaceDE w:val="0"/>
        <w:spacing w:line="560" w:lineRule="exact"/>
        <w:ind w:firstLine="640" w:firstLineChars="200"/>
        <w:rPr>
          <w:rFonts w:ascii="仿宋_GB2312" w:eastAsia="仿宋_GB2312"/>
          <w:sz w:val="32"/>
          <w:szCs w:val="32"/>
        </w:rPr>
      </w:pPr>
      <w:r>
        <w:rPr>
          <w:rFonts w:hint="eastAsia" w:ascii="仿宋_GB2312" w:eastAsia="仿宋_GB2312"/>
          <w:sz w:val="32"/>
          <w:szCs w:val="32"/>
        </w:rPr>
        <w:t>无。</w:t>
      </w:r>
    </w:p>
    <w:p w14:paraId="7C1F16BC">
      <w:pPr>
        <w:pStyle w:val="5"/>
        <w:autoSpaceDE w:val="0"/>
        <w:spacing w:line="560" w:lineRule="exact"/>
        <w:ind w:firstLine="640" w:firstLineChars="200"/>
        <w:rPr>
          <w:rFonts w:ascii="黑体" w:hAnsi="黑体" w:eastAsia="黑体"/>
          <w:kern w:val="0"/>
          <w:sz w:val="32"/>
          <w:szCs w:val="32"/>
        </w:rPr>
      </w:pPr>
      <w:r>
        <w:rPr>
          <w:rFonts w:hint="eastAsia" w:ascii="黑体" w:hAnsi="黑体" w:eastAsia="黑体"/>
          <w:sz w:val="32"/>
          <w:szCs w:val="32"/>
        </w:rPr>
        <w:t>六、改进建议</w:t>
      </w:r>
    </w:p>
    <w:p w14:paraId="09A79ECB">
      <w:pPr>
        <w:autoSpaceDE w:val="0"/>
        <w:spacing w:line="560" w:lineRule="exact"/>
        <w:jc w:val="left"/>
        <w:rPr>
          <w:rFonts w:ascii="仿宋_GB2312" w:eastAsia="仿宋_GB2312"/>
          <w:kern w:val="0"/>
          <w:sz w:val="32"/>
          <w:szCs w:val="32"/>
        </w:rPr>
      </w:pPr>
      <w:r>
        <w:rPr>
          <w:rFonts w:hint="eastAsia" w:ascii="仿宋_GB2312" w:eastAsia="仿宋_GB2312"/>
          <w:kern w:val="0"/>
          <w:sz w:val="32"/>
          <w:szCs w:val="32"/>
          <w:shd w:val="clear" w:color="auto" w:fill="FFFFFF"/>
        </w:rPr>
        <w:t xml:space="preserve"> </w:t>
      </w:r>
      <w:r>
        <w:rPr>
          <w:rFonts w:hint="eastAsia" w:ascii="仿宋_GB2312" w:eastAsia="仿宋_GB2312"/>
          <w:kern w:val="0"/>
          <w:sz w:val="32"/>
          <w:szCs w:val="32"/>
        </w:rPr>
        <w:t xml:space="preserve">   无。</w:t>
      </w:r>
    </w:p>
    <w:p w14:paraId="2C7BD6EF">
      <w:pPr>
        <w:autoSpaceDE w:val="0"/>
        <w:snapToGrid w:val="0"/>
        <w:spacing w:line="560" w:lineRule="exact"/>
        <w:ind w:firstLine="640" w:firstLineChars="200"/>
        <w:rPr>
          <w:rFonts w:ascii="仿宋_GB2312" w:eastAsia="仿宋_GB2312"/>
          <w:kern w:val="0"/>
          <w:sz w:val="32"/>
          <w:szCs w:val="32"/>
          <w:shd w:val="clear" w:color="auto" w:fill="FFFFFF"/>
        </w:rPr>
      </w:pPr>
      <w:r>
        <w:rPr>
          <w:rFonts w:hint="eastAsia" w:ascii="仿宋_GB2312" w:eastAsia="仿宋_GB2312"/>
          <w:kern w:val="0"/>
          <w:sz w:val="32"/>
          <w:szCs w:val="32"/>
          <w:shd w:val="clear" w:color="auto" w:fill="FFFFFF"/>
        </w:rPr>
        <w:t xml:space="preserve"> </w:t>
      </w:r>
    </w:p>
    <w:p w14:paraId="449BEBF9">
      <w:pPr>
        <w:pStyle w:val="11"/>
        <w:autoSpaceDE w:val="0"/>
        <w:spacing w:after="0" w:line="560" w:lineRule="exact"/>
        <w:ind w:left="4795" w:leftChars="150" w:hanging="4480" w:hangingChars="1400"/>
        <w:rPr>
          <w:rFonts w:eastAsia="仿宋_GB2312"/>
          <w:sz w:val="32"/>
          <w:szCs w:val="32"/>
        </w:rPr>
      </w:pPr>
    </w:p>
    <w:p w14:paraId="4DAE2897">
      <w:pPr>
        <w:pStyle w:val="20"/>
        <w:autoSpaceDE w:val="0"/>
        <w:spacing w:line="560" w:lineRule="exact"/>
        <w:rPr>
          <w:rFonts w:ascii="仿宋_GB2312" w:hAnsi="Times New Roman" w:eastAsia="仿宋_GB2312"/>
          <w:kern w:val="2"/>
          <w:sz w:val="32"/>
          <w:szCs w:val="32"/>
        </w:rPr>
      </w:pPr>
    </w:p>
    <w:p w14:paraId="53BF5A5E">
      <w:pPr>
        <w:pStyle w:val="20"/>
        <w:autoSpaceDE w:val="0"/>
        <w:spacing w:line="560" w:lineRule="exact"/>
        <w:jc w:val="center"/>
        <w:rPr>
          <w:rFonts w:ascii="仿宋_GB2312" w:hAnsi="Times New Roman" w:eastAsia="仿宋_GB2312"/>
          <w:kern w:val="2"/>
          <w:sz w:val="32"/>
          <w:szCs w:val="32"/>
        </w:rPr>
      </w:pPr>
    </w:p>
    <w:p w14:paraId="30CC1AF9">
      <w:pPr>
        <w:pStyle w:val="20"/>
        <w:autoSpaceDE w:val="0"/>
        <w:spacing w:line="560" w:lineRule="exact"/>
        <w:jc w:val="center"/>
        <w:rPr>
          <w:rFonts w:ascii="仿宋_GB2312" w:hAnsi="Times New Roman" w:eastAsia="仿宋_GB2312"/>
          <w:kern w:val="2"/>
          <w:sz w:val="32"/>
          <w:szCs w:val="32"/>
        </w:rPr>
      </w:pPr>
    </w:p>
    <w:p w14:paraId="7721D6AC">
      <w:pPr>
        <w:pStyle w:val="20"/>
        <w:autoSpaceDE w:val="0"/>
        <w:spacing w:line="560" w:lineRule="exact"/>
        <w:jc w:val="center"/>
        <w:rPr>
          <w:rFonts w:ascii="仿宋_GB2312" w:hAnsi="Times New Roman" w:eastAsia="仿宋_GB2312"/>
          <w:kern w:val="2"/>
          <w:sz w:val="32"/>
          <w:szCs w:val="32"/>
        </w:rPr>
      </w:pPr>
    </w:p>
    <w:p w14:paraId="500B49FA">
      <w:pPr>
        <w:pStyle w:val="20"/>
        <w:autoSpaceDE w:val="0"/>
        <w:spacing w:line="560" w:lineRule="exact"/>
        <w:jc w:val="center"/>
        <w:rPr>
          <w:rFonts w:ascii="仿宋_GB2312" w:hAnsi="Times New Roman" w:eastAsia="仿宋_GB2312"/>
          <w:kern w:val="2"/>
          <w:sz w:val="32"/>
          <w:szCs w:val="32"/>
        </w:rPr>
      </w:pPr>
    </w:p>
    <w:p w14:paraId="5369F263">
      <w:pPr>
        <w:pStyle w:val="20"/>
        <w:autoSpaceDE w:val="0"/>
        <w:spacing w:line="560" w:lineRule="exact"/>
        <w:jc w:val="center"/>
        <w:rPr>
          <w:rFonts w:ascii="仿宋_GB2312" w:hAnsi="Times New Roman" w:eastAsia="仿宋_GB2312"/>
          <w:kern w:val="2"/>
          <w:sz w:val="32"/>
          <w:szCs w:val="32"/>
        </w:rPr>
      </w:pPr>
    </w:p>
    <w:p w14:paraId="58344C09">
      <w:pPr>
        <w:pStyle w:val="20"/>
        <w:autoSpaceDE w:val="0"/>
        <w:spacing w:line="560" w:lineRule="exact"/>
        <w:jc w:val="center"/>
        <w:rPr>
          <w:rFonts w:ascii="仿宋_GB2312" w:hAnsi="Times New Roman" w:eastAsia="仿宋_GB2312"/>
          <w:kern w:val="2"/>
          <w:sz w:val="32"/>
          <w:szCs w:val="32"/>
        </w:rPr>
      </w:pPr>
    </w:p>
    <w:p w14:paraId="46D30292">
      <w:pPr>
        <w:pStyle w:val="20"/>
        <w:autoSpaceDE w:val="0"/>
        <w:spacing w:line="560" w:lineRule="exact"/>
        <w:jc w:val="center"/>
        <w:rPr>
          <w:rFonts w:ascii="仿宋_GB2312" w:hAnsi="Times New Roman" w:eastAsia="仿宋_GB2312"/>
          <w:kern w:val="2"/>
          <w:sz w:val="32"/>
          <w:szCs w:val="32"/>
        </w:rPr>
      </w:pPr>
    </w:p>
    <w:p w14:paraId="442C3C67">
      <w:pPr>
        <w:pStyle w:val="20"/>
        <w:autoSpaceDE w:val="0"/>
        <w:spacing w:line="560" w:lineRule="exact"/>
        <w:jc w:val="center"/>
        <w:rPr>
          <w:rFonts w:ascii="仿宋_GB2312" w:hAnsi="Times New Roman" w:eastAsia="仿宋_GB2312"/>
          <w:kern w:val="2"/>
          <w:sz w:val="32"/>
          <w:szCs w:val="32"/>
        </w:rPr>
      </w:pPr>
    </w:p>
    <w:p w14:paraId="1D06EE99">
      <w:pPr>
        <w:pStyle w:val="20"/>
        <w:autoSpaceDE w:val="0"/>
        <w:spacing w:line="560" w:lineRule="exact"/>
        <w:rPr>
          <w:rFonts w:ascii="仿宋_GB2312" w:hAnsi="Times New Roman" w:eastAsia="仿宋_GB2312"/>
          <w:kern w:val="2"/>
          <w:sz w:val="32"/>
          <w:szCs w:val="32"/>
        </w:rPr>
      </w:pPr>
    </w:p>
    <w:p w14:paraId="78596880">
      <w:pPr>
        <w:pStyle w:val="20"/>
        <w:autoSpaceDE w:val="0"/>
        <w:spacing w:line="560" w:lineRule="exact"/>
        <w:rPr>
          <w:rFonts w:hint="eastAsia" w:ascii="仿宋_GB2312" w:hAnsi="Times New Roman" w:eastAsia="仿宋_GB2312"/>
          <w:kern w:val="2"/>
          <w:sz w:val="32"/>
          <w:szCs w:val="32"/>
        </w:rPr>
      </w:pPr>
    </w:p>
    <w:p w14:paraId="49EA6293">
      <w:pPr>
        <w:pStyle w:val="20"/>
        <w:autoSpaceDE w:val="0"/>
        <w:spacing w:line="560" w:lineRule="exact"/>
        <w:jc w:val="center"/>
        <w:rPr>
          <w:rFonts w:ascii="黑体" w:hAnsi="黑体" w:eastAsia="黑体"/>
          <w:kern w:val="2"/>
          <w:sz w:val="44"/>
          <w:szCs w:val="44"/>
        </w:rPr>
      </w:pPr>
    </w:p>
    <w:p w14:paraId="3D3D3FB9">
      <w:pPr>
        <w:pStyle w:val="20"/>
        <w:autoSpaceDE w:val="0"/>
        <w:spacing w:line="560" w:lineRule="exact"/>
        <w:jc w:val="center"/>
        <w:rPr>
          <w:rFonts w:ascii="黑体" w:hAnsi="黑体" w:eastAsia="黑体"/>
          <w:kern w:val="2"/>
          <w:sz w:val="44"/>
          <w:szCs w:val="44"/>
        </w:rPr>
      </w:pPr>
    </w:p>
    <w:p w14:paraId="1C56FF9F">
      <w:pPr>
        <w:pStyle w:val="20"/>
        <w:autoSpaceDE w:val="0"/>
        <w:spacing w:line="560" w:lineRule="exact"/>
        <w:jc w:val="center"/>
        <w:rPr>
          <w:rFonts w:ascii="黑体" w:hAnsi="黑体" w:eastAsia="黑体"/>
          <w:kern w:val="2"/>
          <w:sz w:val="44"/>
          <w:szCs w:val="44"/>
        </w:rPr>
      </w:pPr>
    </w:p>
    <w:p w14:paraId="4043D319">
      <w:pPr>
        <w:pStyle w:val="20"/>
        <w:autoSpaceDE w:val="0"/>
        <w:spacing w:line="560" w:lineRule="exact"/>
        <w:jc w:val="center"/>
        <w:rPr>
          <w:rFonts w:ascii="黑体" w:hAnsi="黑体" w:eastAsia="黑体"/>
          <w:kern w:val="2"/>
          <w:sz w:val="44"/>
          <w:szCs w:val="44"/>
        </w:rPr>
      </w:pPr>
    </w:p>
    <w:p w14:paraId="7A571002">
      <w:pPr>
        <w:pStyle w:val="20"/>
        <w:autoSpaceDE w:val="0"/>
        <w:spacing w:line="560" w:lineRule="exact"/>
        <w:jc w:val="center"/>
        <w:rPr>
          <w:rFonts w:hint="eastAsia" w:ascii="黑体" w:hAnsi="黑体" w:eastAsia="黑体"/>
          <w:kern w:val="2"/>
          <w:sz w:val="44"/>
          <w:szCs w:val="44"/>
        </w:rPr>
      </w:pPr>
    </w:p>
    <w:p w14:paraId="20D7B825">
      <w:pPr>
        <w:pStyle w:val="20"/>
        <w:autoSpaceDE w:val="0"/>
        <w:spacing w:line="560" w:lineRule="exact"/>
        <w:jc w:val="center"/>
        <w:rPr>
          <w:rFonts w:hint="eastAsia" w:ascii="黑体" w:hAnsi="黑体" w:eastAsia="黑体"/>
          <w:kern w:val="2"/>
          <w:sz w:val="44"/>
          <w:szCs w:val="44"/>
        </w:rPr>
      </w:pPr>
    </w:p>
    <w:p w14:paraId="63186933">
      <w:pPr>
        <w:pStyle w:val="20"/>
        <w:autoSpaceDE w:val="0"/>
        <w:spacing w:line="560" w:lineRule="exact"/>
        <w:jc w:val="center"/>
        <w:rPr>
          <w:rFonts w:hint="eastAsia" w:ascii="黑体" w:hAnsi="黑体" w:eastAsia="黑体"/>
          <w:kern w:val="2"/>
          <w:sz w:val="44"/>
          <w:szCs w:val="44"/>
        </w:rPr>
      </w:pPr>
    </w:p>
    <w:p w14:paraId="0E8AE9B8">
      <w:pPr>
        <w:pStyle w:val="20"/>
        <w:autoSpaceDE w:val="0"/>
        <w:spacing w:line="560" w:lineRule="exact"/>
        <w:jc w:val="center"/>
        <w:rPr>
          <w:rFonts w:hint="eastAsia" w:ascii="黑体" w:hAnsi="黑体" w:eastAsia="黑体"/>
          <w:kern w:val="2"/>
          <w:sz w:val="44"/>
          <w:szCs w:val="44"/>
        </w:rPr>
      </w:pPr>
    </w:p>
    <w:p w14:paraId="172DE200">
      <w:pPr>
        <w:pStyle w:val="20"/>
        <w:autoSpaceDE w:val="0"/>
        <w:spacing w:line="560" w:lineRule="exact"/>
        <w:jc w:val="center"/>
        <w:rPr>
          <w:rFonts w:ascii="黑体" w:hAnsi="黑体" w:eastAsia="黑体"/>
          <w:kern w:val="2"/>
          <w:sz w:val="44"/>
          <w:szCs w:val="44"/>
        </w:rPr>
      </w:pPr>
      <w:r>
        <w:rPr>
          <w:rFonts w:hint="eastAsia" w:ascii="黑体" w:hAnsi="黑体" w:eastAsia="黑体"/>
          <w:kern w:val="2"/>
          <w:sz w:val="44"/>
          <w:szCs w:val="44"/>
        </w:rPr>
        <w:t>广元市公安局交通警察支队</w:t>
      </w:r>
    </w:p>
    <w:p w14:paraId="45917E57">
      <w:pPr>
        <w:pStyle w:val="20"/>
        <w:autoSpaceDE w:val="0"/>
        <w:spacing w:line="560" w:lineRule="exact"/>
        <w:jc w:val="center"/>
        <w:rPr>
          <w:rFonts w:ascii="黑体" w:hAnsi="黑体" w:eastAsia="黑体"/>
          <w:kern w:val="2"/>
          <w:sz w:val="44"/>
          <w:szCs w:val="44"/>
        </w:rPr>
      </w:pPr>
      <w:r>
        <w:rPr>
          <w:rFonts w:hint="eastAsia" w:ascii="黑体" w:hAnsi="黑体" w:eastAsia="黑体"/>
          <w:kern w:val="2"/>
          <w:sz w:val="44"/>
          <w:szCs w:val="44"/>
        </w:rPr>
        <w:t>移动源管控（远端分流、老旧车辆淘汰等）绩效自评报告</w:t>
      </w:r>
    </w:p>
    <w:p w14:paraId="3D32D9A7">
      <w:pPr>
        <w:pStyle w:val="20"/>
        <w:autoSpaceDE w:val="0"/>
        <w:spacing w:line="560" w:lineRule="exact"/>
        <w:ind w:firstLine="640"/>
        <w:jc w:val="center"/>
        <w:rPr>
          <w:rFonts w:ascii="仿宋_GB2312" w:hAnsi="Times New Roman" w:eastAsia="仿宋_GB2312"/>
          <w:kern w:val="2"/>
          <w:sz w:val="32"/>
          <w:szCs w:val="32"/>
        </w:rPr>
      </w:pPr>
      <w:r>
        <w:rPr>
          <w:rFonts w:hint="eastAsia" w:ascii="仿宋_GB2312" w:hAnsi="Times New Roman" w:eastAsia="仿宋_GB2312"/>
          <w:kern w:val="2"/>
          <w:sz w:val="32"/>
          <w:szCs w:val="32"/>
        </w:rPr>
        <w:t xml:space="preserve"> </w:t>
      </w:r>
    </w:p>
    <w:p w14:paraId="5FE69F64">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一、项目概况</w:t>
      </w:r>
    </w:p>
    <w:p w14:paraId="6ADB9A42">
      <w:pPr>
        <w:adjustRightInd w:val="0"/>
        <w:snapToGrid w:val="0"/>
        <w:spacing w:line="560" w:lineRule="exact"/>
        <w:ind w:firstLine="720"/>
        <w:rPr>
          <w:rFonts w:ascii="仿宋_GB2312" w:hAnsi="宋体" w:eastAsia="仿宋_GB2312"/>
          <w:sz w:val="32"/>
          <w:szCs w:val="32"/>
        </w:rPr>
      </w:pPr>
      <w:r>
        <w:rPr>
          <w:rFonts w:hint="eastAsia" w:ascii="仿宋_GB2312" w:eastAsia="仿宋_GB2312"/>
          <w:b/>
          <w:sz w:val="32"/>
          <w:szCs w:val="32"/>
        </w:rPr>
        <w:t>（一）设立背景及基本情况。</w:t>
      </w:r>
      <w:r>
        <w:rPr>
          <w:rFonts w:hint="eastAsia" w:ascii="仿宋_GB2312" w:hAnsi="宋体" w:eastAsia="仿宋_GB2312"/>
          <w:sz w:val="32"/>
          <w:szCs w:val="32"/>
        </w:rPr>
        <w:t>为配合市生态环境局做好大气污染治理工作，我支队需通过对柴油货车远端分流管控及老旧车淘汰，从而减少环境污染，提升空气质量。</w:t>
      </w:r>
    </w:p>
    <w:p w14:paraId="7B7F9BCC">
      <w:pPr>
        <w:autoSpaceDE w:val="0"/>
        <w:adjustRightInd w:val="0"/>
        <w:snapToGrid w:val="0"/>
        <w:spacing w:line="560" w:lineRule="exact"/>
        <w:ind w:firstLine="643" w:firstLineChars="200"/>
        <w:rPr>
          <w:rFonts w:ascii="仿宋_GB2312" w:hAnsi="Times New Roman" w:eastAsia="仿宋_GB2312"/>
          <w:sz w:val="32"/>
          <w:szCs w:val="32"/>
        </w:rPr>
      </w:pPr>
      <w:r>
        <w:rPr>
          <w:rFonts w:hint="eastAsia" w:ascii="仿宋_GB2312" w:eastAsia="仿宋_GB2312"/>
          <w:b/>
          <w:sz w:val="32"/>
          <w:szCs w:val="32"/>
        </w:rPr>
        <w:t>（二）实施目的及支持方向。</w:t>
      </w:r>
      <w:r>
        <w:rPr>
          <w:rFonts w:hint="eastAsia" w:ascii="仿宋_GB2312" w:hAnsi="宋体" w:eastAsia="仿宋_GB2312"/>
          <w:sz w:val="32"/>
          <w:szCs w:val="32"/>
        </w:rPr>
        <w:t>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w:t>
      </w:r>
      <w:r>
        <w:rPr>
          <w:rFonts w:hint="eastAsia" w:ascii="仿宋_GB2312" w:eastAsia="仿宋_GB2312"/>
          <w:sz w:val="32"/>
          <w:szCs w:val="32"/>
        </w:rPr>
        <w:t>项目的主要内容是完成柴油货车远端分流管控及老旧车淘汰。</w:t>
      </w:r>
    </w:p>
    <w:p w14:paraId="738F5CBC">
      <w:pPr>
        <w:widowControl/>
        <w:autoSpaceDE w:val="0"/>
        <w:adjustRightInd w:val="0"/>
        <w:snapToGrid w:val="0"/>
        <w:spacing w:line="560" w:lineRule="exact"/>
        <w:ind w:firstLine="643" w:firstLineChars="200"/>
        <w:contextualSpacing/>
        <w:jc w:val="left"/>
        <w:rPr>
          <w:rFonts w:ascii="仿宋_GB2312" w:eastAsia="仿宋_GB2312"/>
          <w:kern w:val="0"/>
          <w:sz w:val="32"/>
          <w:szCs w:val="32"/>
          <w:shd w:val="clear" w:color="auto" w:fill="FFFFFF"/>
        </w:rPr>
      </w:pPr>
      <w:r>
        <w:rPr>
          <w:rFonts w:hint="eastAsia" w:ascii="仿宋_GB2312" w:eastAsia="仿宋_GB2312"/>
          <w:b/>
          <w:sz w:val="32"/>
          <w:szCs w:val="32"/>
        </w:rPr>
        <w:t>（三）预算安排及分配管理。</w:t>
      </w:r>
      <w:r>
        <w:rPr>
          <w:rFonts w:hint="eastAsia" w:ascii="仿宋_GB2312" w:eastAsia="仿宋_GB2312"/>
          <w:kern w:val="0"/>
          <w:sz w:val="32"/>
          <w:szCs w:val="32"/>
          <w:shd w:val="clear" w:color="auto" w:fill="FFFFFF"/>
        </w:rPr>
        <w:t>项目预算安排15万元，项目资金主要用于弥补日常业务经费。</w:t>
      </w:r>
    </w:p>
    <w:p w14:paraId="436F3269">
      <w:pPr>
        <w:adjustRightInd w:val="0"/>
        <w:snapToGrid w:val="0"/>
        <w:spacing w:line="560" w:lineRule="exact"/>
        <w:ind w:firstLine="720"/>
        <w:rPr>
          <w:rFonts w:ascii="仿宋_GB2312" w:eastAsia="仿宋_GB2312"/>
          <w:kern w:val="0"/>
          <w:sz w:val="32"/>
          <w:szCs w:val="32"/>
          <w:shd w:val="clear" w:color="auto" w:fill="FFFFFF"/>
        </w:rPr>
      </w:pPr>
      <w:r>
        <w:rPr>
          <w:rFonts w:hint="eastAsia" w:ascii="仿宋_GB2312" w:eastAsia="仿宋_GB2312"/>
          <w:b/>
          <w:sz w:val="32"/>
          <w:szCs w:val="32"/>
        </w:rPr>
        <w:t>（四）项目绩效目标设置。</w:t>
      </w:r>
      <w:r>
        <w:rPr>
          <w:rFonts w:hint="eastAsia" w:ascii="仿宋_GB2312" w:eastAsia="仿宋_GB2312"/>
          <w:sz w:val="32"/>
          <w:szCs w:val="32"/>
        </w:rPr>
        <w:t>2024年，根据预算绩效管理要求，在预算编制阶段，能够科学、合理的设置绩效目标，充分考虑各项目的差异性，使绩效目标内容完整，细化量化，可操作性强，与预算匹配。支队高度重视项目绩效自查自评工作，成立了以支队长任组长的项目自评领导小组，下设办公室具体负责自评工作，采取调阅资料、现场查看等方式开展自评工作。</w:t>
      </w:r>
    </w:p>
    <w:p w14:paraId="60FAD3AC">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二、评价实施</w:t>
      </w:r>
    </w:p>
    <w:p w14:paraId="2A123445">
      <w:pPr>
        <w:spacing w:line="560" w:lineRule="exact"/>
        <w:ind w:firstLine="640"/>
        <w:rPr>
          <w:rFonts w:ascii="仿宋_GB2312" w:eastAsia="仿宋_GB2312"/>
          <w:sz w:val="32"/>
          <w:szCs w:val="32"/>
        </w:rPr>
      </w:pPr>
      <w:r>
        <w:rPr>
          <w:rFonts w:hint="eastAsia" w:ascii="仿宋_GB2312" w:eastAsia="仿宋_GB2312"/>
          <w:b/>
          <w:sz w:val="32"/>
          <w:szCs w:val="32"/>
        </w:rPr>
        <w:t>（一）评价目的。</w:t>
      </w:r>
      <w:r>
        <w:rPr>
          <w:rFonts w:hint="eastAsia" w:ascii="仿宋_GB2312" w:eastAsia="仿宋_GB2312"/>
          <w:sz w:val="32"/>
          <w:szCs w:val="32"/>
        </w:rPr>
        <w:t>通过项目绩效自评，主要结合资金使用情况，查看项目资金发挥的效益情况，是否实现年初绩效目标。</w:t>
      </w:r>
    </w:p>
    <w:p w14:paraId="7E62FD63">
      <w:pPr>
        <w:autoSpaceDE w:val="0"/>
        <w:adjustRightInd w:val="0"/>
        <w:snapToGrid w:val="0"/>
        <w:spacing w:line="560" w:lineRule="exact"/>
        <w:ind w:firstLine="643" w:firstLineChars="200"/>
        <w:rPr>
          <w:rFonts w:ascii="仿宋_GB2312" w:hAnsi="宋体" w:eastAsia="仿宋_GB2312"/>
          <w:sz w:val="32"/>
          <w:szCs w:val="32"/>
        </w:rPr>
      </w:pPr>
      <w:r>
        <w:rPr>
          <w:rFonts w:hint="eastAsia" w:ascii="仿宋_GB2312" w:eastAsia="仿宋_GB2312"/>
          <w:b/>
          <w:sz w:val="32"/>
          <w:szCs w:val="32"/>
        </w:rPr>
        <w:t>（二）预设问题及评价重点。</w:t>
      </w:r>
      <w:r>
        <w:rPr>
          <w:rFonts w:hint="eastAsia" w:ascii="仿宋_GB2312" w:eastAsia="仿宋_GB2312"/>
          <w:sz w:val="32"/>
          <w:szCs w:val="32"/>
        </w:rPr>
        <w:t>项目预设问题主要为老旧货车注销报废量是否达到，评价重点在于是否</w:t>
      </w:r>
      <w:r>
        <w:rPr>
          <w:rFonts w:hint="eastAsia" w:ascii="仿宋_GB2312" w:hAnsi="宋体" w:eastAsia="仿宋_GB2312"/>
          <w:sz w:val="32"/>
          <w:szCs w:val="32"/>
        </w:rPr>
        <w:t>通过对柴油货车远端分流管控及老旧车淘汰，从而减少环境污染，提升空气质量。</w:t>
      </w:r>
    </w:p>
    <w:p w14:paraId="2A930EF3">
      <w:pPr>
        <w:autoSpaceDE w:val="0"/>
        <w:adjustRightInd w:val="0"/>
        <w:snapToGrid w:val="0"/>
        <w:spacing w:line="560" w:lineRule="exact"/>
        <w:ind w:firstLine="643" w:firstLineChars="200"/>
        <w:rPr>
          <w:rFonts w:ascii="仿宋_GB2312" w:hAnsi="Times New Roman" w:eastAsia="仿宋_GB2312"/>
          <w:sz w:val="32"/>
          <w:szCs w:val="32"/>
        </w:rPr>
      </w:pPr>
      <w:r>
        <w:rPr>
          <w:rFonts w:hint="eastAsia" w:ascii="仿宋_GB2312" w:eastAsia="仿宋_GB2312"/>
          <w:b/>
          <w:sz w:val="32"/>
          <w:szCs w:val="32"/>
        </w:rPr>
        <w:t>（三）评价选点。</w:t>
      </w:r>
      <w:r>
        <w:rPr>
          <w:rFonts w:hint="eastAsia" w:ascii="仿宋_GB2312" w:eastAsia="仿宋_GB2312"/>
          <w:sz w:val="32"/>
          <w:szCs w:val="32"/>
        </w:rPr>
        <w:t>通过查看安装“禁止驶入”标志标牌，及老旧火车报废量来查看资金使用效益。</w:t>
      </w:r>
    </w:p>
    <w:p w14:paraId="5CF71556">
      <w:pPr>
        <w:autoSpaceDE w:val="0"/>
        <w:spacing w:line="560" w:lineRule="exact"/>
        <w:ind w:firstLine="640"/>
        <w:rPr>
          <w:rFonts w:ascii="仿宋_GB2312" w:eastAsia="仿宋_GB2312"/>
          <w:sz w:val="32"/>
          <w:szCs w:val="32"/>
        </w:rPr>
      </w:pPr>
      <w:r>
        <w:rPr>
          <w:rFonts w:hint="eastAsia" w:ascii="仿宋_GB2312" w:eastAsia="仿宋_GB2312"/>
          <w:b/>
          <w:sz w:val="32"/>
          <w:szCs w:val="32"/>
        </w:rPr>
        <w:t>（四）评价方法。</w:t>
      </w:r>
      <w:r>
        <w:rPr>
          <w:rFonts w:hint="eastAsia" w:ascii="仿宋_GB2312" w:eastAsia="仿宋_GB2312"/>
          <w:sz w:val="32"/>
          <w:szCs w:val="32"/>
        </w:rPr>
        <w:t>采取调阅资料的等方式开展自评工作。</w:t>
      </w:r>
    </w:p>
    <w:p w14:paraId="653DDED8">
      <w:pPr>
        <w:adjustRightInd w:val="0"/>
        <w:snapToGrid w:val="0"/>
        <w:spacing w:line="560" w:lineRule="exact"/>
        <w:ind w:firstLine="720"/>
        <w:rPr>
          <w:rFonts w:ascii="仿宋_GB2312" w:eastAsia="仿宋_GB2312"/>
          <w:sz w:val="32"/>
          <w:szCs w:val="32"/>
        </w:rPr>
      </w:pPr>
      <w:r>
        <w:rPr>
          <w:rFonts w:hint="eastAsia" w:ascii="仿宋_GB2312" w:eastAsia="仿宋_GB2312"/>
          <w:b/>
          <w:sz w:val="32"/>
          <w:szCs w:val="32"/>
        </w:rPr>
        <w:t>（五）评价组织。</w:t>
      </w:r>
      <w:r>
        <w:rPr>
          <w:rFonts w:hint="eastAsia" w:ascii="仿宋_GB2312" w:eastAsia="仿宋_GB2312"/>
          <w:sz w:val="32"/>
          <w:szCs w:val="32"/>
        </w:rPr>
        <w:t>支队高度重视项目绩效自查自评工作，成立了以支队长任组长的项目自评领导小组，具体项目自评由相关责任科室牵头开展自评。</w:t>
      </w:r>
    </w:p>
    <w:p w14:paraId="36622C29">
      <w:pPr>
        <w:autoSpaceDE w:val="0"/>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三、绩效分析</w:t>
      </w:r>
      <w:r>
        <w:rPr>
          <w:rFonts w:hint="eastAsia" w:ascii="黑体" w:hAnsi="黑体" w:eastAsia="黑体"/>
          <w:sz w:val="32"/>
          <w:szCs w:val="32"/>
        </w:rPr>
        <w:tab/>
      </w:r>
    </w:p>
    <w:p w14:paraId="5466D767">
      <w:pPr>
        <w:autoSpaceDE w:val="0"/>
        <w:spacing w:line="560" w:lineRule="exact"/>
        <w:ind w:firstLine="640"/>
        <w:rPr>
          <w:rFonts w:ascii="仿宋_GB2312" w:eastAsia="仿宋_GB2312"/>
          <w:b/>
          <w:sz w:val="32"/>
          <w:szCs w:val="32"/>
        </w:rPr>
      </w:pPr>
      <w:r>
        <w:rPr>
          <w:rFonts w:hint="eastAsia" w:ascii="仿宋_GB2312" w:eastAsia="仿宋_GB2312"/>
          <w:b/>
          <w:sz w:val="32"/>
          <w:szCs w:val="32"/>
        </w:rPr>
        <w:t>（一）通用指标</w:t>
      </w:r>
      <w:r>
        <w:rPr>
          <w:rFonts w:hint="eastAsia" w:ascii="仿宋_GB2312" w:eastAsia="仿宋_GB2312"/>
          <w:b/>
          <w:kern w:val="0"/>
          <w:sz w:val="32"/>
          <w:szCs w:val="32"/>
          <w:shd w:val="clear" w:color="auto" w:fill="FFFFFF"/>
        </w:rPr>
        <w:t>绩效分析。</w:t>
      </w:r>
    </w:p>
    <w:p w14:paraId="00C7E65C">
      <w:pPr>
        <w:autoSpaceDE w:val="0"/>
        <w:spacing w:line="560" w:lineRule="exact"/>
        <w:ind w:firstLine="640"/>
        <w:rPr>
          <w:rFonts w:ascii="仿宋_GB2312" w:hAnsi="楷体" w:eastAsia="仿宋_GB2312"/>
          <w:sz w:val="32"/>
          <w:szCs w:val="32"/>
        </w:rPr>
      </w:pPr>
      <w:r>
        <w:rPr>
          <w:rFonts w:hint="eastAsia" w:ascii="仿宋_GB2312" w:eastAsia="仿宋_GB2312"/>
          <w:sz w:val="32"/>
          <w:szCs w:val="32"/>
        </w:rPr>
        <w:t>1.项目决策（18分）。</w:t>
      </w:r>
      <w:r>
        <w:rPr>
          <w:rFonts w:hint="eastAsia" w:ascii="仿宋_GB2312" w:hAnsi="楷体" w:eastAsia="仿宋_GB2312"/>
          <w:sz w:val="32"/>
          <w:szCs w:val="32"/>
        </w:rPr>
        <w:t>该项目由相关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14:paraId="0260E5D0">
      <w:pPr>
        <w:autoSpaceDE w:val="0"/>
        <w:spacing w:line="560" w:lineRule="exact"/>
        <w:ind w:firstLine="640"/>
        <w:rPr>
          <w:rFonts w:ascii="仿宋_GB2312" w:hAnsi="Times New Roman" w:eastAsia="仿宋_GB2312"/>
          <w:sz w:val="32"/>
          <w:szCs w:val="32"/>
        </w:rPr>
      </w:pPr>
      <w:r>
        <w:rPr>
          <w:rFonts w:hint="eastAsia" w:ascii="仿宋_GB2312" w:eastAsia="仿宋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主要用于日常业务经费支出。</w:t>
      </w:r>
    </w:p>
    <w:p w14:paraId="79C370C8">
      <w:pPr>
        <w:rPr>
          <w:rFonts w:ascii="仿宋_GB2312" w:eastAsia="仿宋_GB2312"/>
          <w:sz w:val="32"/>
          <w:szCs w:val="32"/>
        </w:rPr>
      </w:pPr>
      <w:r>
        <w:t xml:space="preserve">    </w:t>
      </w:r>
      <w:r>
        <w:rPr>
          <w:rFonts w:hint="eastAsia" w:ascii="仿宋_GB2312" w:eastAsia="仿宋_GB2312"/>
          <w:sz w:val="32"/>
          <w:szCs w:val="32"/>
        </w:rPr>
        <w:t>3.项目实施（9分）。</w:t>
      </w:r>
      <w:r>
        <w:rPr>
          <w:rFonts w:hint="eastAsia" w:ascii="仿宋_GB2312" w:hAnsi="宋体" w:eastAsia="仿宋_GB2312"/>
          <w:sz w:val="32"/>
          <w:szCs w:val="32"/>
        </w:rPr>
        <w:t>该项目资金执行率为</w:t>
      </w:r>
      <w:r>
        <w:rPr>
          <w:rFonts w:hint="eastAsia" w:ascii="仿宋_GB2312" w:eastAsia="仿宋_GB2312"/>
          <w:sz w:val="32"/>
          <w:szCs w:val="32"/>
        </w:rPr>
        <w:t>100%</w:t>
      </w:r>
      <w:r>
        <w:rPr>
          <w:rFonts w:hint="eastAsia" w:ascii="仿宋_GB2312" w:hAnsi="宋体" w:eastAsia="仿宋_GB2312"/>
          <w:sz w:val="32"/>
          <w:szCs w:val="32"/>
        </w:rPr>
        <w:t>，项目严格按照相关要求进行支付，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使用审批”、“预算执行”、“管理监督”三个环节，硬化了预算约束。围绕预算执行、资金使用进行绩效分析。</w:t>
      </w:r>
    </w:p>
    <w:p w14:paraId="6E74DAC8">
      <w:pPr>
        <w:spacing w:line="560" w:lineRule="exact"/>
        <w:ind w:firstLine="640" w:firstLineChars="200"/>
        <w:rPr>
          <w:rFonts w:ascii="仿宋_GB2312" w:eastAsia="仿宋_GB2312"/>
          <w:sz w:val="32"/>
          <w:szCs w:val="32"/>
        </w:rPr>
      </w:pPr>
      <w:r>
        <w:rPr>
          <w:rFonts w:hint="eastAsia" w:ascii="仿宋_GB2312" w:eastAsia="仿宋_GB2312"/>
          <w:sz w:val="32"/>
          <w:szCs w:val="32"/>
        </w:rPr>
        <w:t>4.项目结果（9分）。通过项目实施，常态化对柴油货车进行路面巡逻管控，在重点路段安装了“禁止驶入”标志标牌，老旧货车注销报废达2000余辆。</w:t>
      </w:r>
    </w:p>
    <w:p w14:paraId="69866B02">
      <w:pPr>
        <w:autoSpaceDE w:val="0"/>
        <w:spacing w:line="560" w:lineRule="exact"/>
        <w:ind w:firstLine="643" w:firstLineChars="200"/>
        <w:rPr>
          <w:rFonts w:ascii="仿宋_GB2312" w:eastAsia="仿宋_GB2312"/>
          <w:sz w:val="32"/>
          <w:szCs w:val="32"/>
        </w:rPr>
      </w:pPr>
      <w:r>
        <w:rPr>
          <w:rFonts w:hint="eastAsia" w:ascii="仿宋_GB2312" w:eastAsia="仿宋_GB2312"/>
          <w:b/>
          <w:sz w:val="32"/>
          <w:szCs w:val="32"/>
        </w:rPr>
        <w:t>（二）专用指标</w:t>
      </w:r>
      <w:r>
        <w:rPr>
          <w:rFonts w:hint="eastAsia" w:ascii="仿宋_GB2312" w:eastAsia="仿宋_GB2312"/>
          <w:b/>
          <w:kern w:val="0"/>
          <w:sz w:val="32"/>
          <w:szCs w:val="32"/>
          <w:shd w:val="clear" w:color="auto" w:fill="FFFFFF"/>
        </w:rPr>
        <w:t>绩效分析</w:t>
      </w:r>
      <w:r>
        <w:rPr>
          <w:rFonts w:hint="eastAsia" w:ascii="仿宋_GB2312" w:eastAsia="仿宋_GB2312"/>
          <w:b/>
          <w:sz w:val="32"/>
          <w:szCs w:val="32"/>
        </w:rPr>
        <w:t>（30分）。</w:t>
      </w:r>
      <w:r>
        <w:rPr>
          <w:rFonts w:hint="eastAsia" w:ascii="仿宋_GB2312" w:eastAsia="仿宋_GB2312"/>
          <w:sz w:val="32"/>
          <w:szCs w:val="32"/>
        </w:rPr>
        <w:t>该项目属行政运转类项目，资金使用合法合规，</w:t>
      </w:r>
      <w:r>
        <w:rPr>
          <w:rFonts w:hint="eastAsia" w:ascii="仿宋_GB2312" w:hAnsi="宋体" w:eastAsia="仿宋_GB2312"/>
          <w:sz w:val="32"/>
          <w:szCs w:val="32"/>
        </w:rPr>
        <w:t>通过配合市生态环境局做好大气污染治理工作对柴油货车远端分流管控及老旧车淘汰，在一定程度上对大气污染防治工作做出了贡献。</w:t>
      </w:r>
    </w:p>
    <w:p w14:paraId="3908589F">
      <w:pPr>
        <w:autoSpaceDE w:val="0"/>
        <w:spacing w:line="560" w:lineRule="exact"/>
        <w:ind w:firstLine="640"/>
        <w:rPr>
          <w:rFonts w:ascii="仿宋_GB2312" w:eastAsia="仿宋_GB2312"/>
          <w:sz w:val="32"/>
          <w:szCs w:val="32"/>
        </w:rPr>
      </w:pPr>
      <w:r>
        <w:rPr>
          <w:rFonts w:hint="eastAsia" w:ascii="仿宋_GB2312" w:eastAsia="仿宋_GB2312"/>
          <w:b/>
          <w:sz w:val="32"/>
          <w:szCs w:val="32"/>
        </w:rPr>
        <w:t>（三）个性指标</w:t>
      </w:r>
      <w:r>
        <w:rPr>
          <w:rFonts w:hint="eastAsia" w:ascii="仿宋_GB2312" w:eastAsia="仿宋_GB2312"/>
          <w:b/>
          <w:kern w:val="0"/>
          <w:sz w:val="32"/>
          <w:szCs w:val="32"/>
          <w:shd w:val="clear" w:color="auto" w:fill="FFFFFF"/>
        </w:rPr>
        <w:t>绩效分析</w:t>
      </w:r>
      <w:r>
        <w:rPr>
          <w:rFonts w:hint="eastAsia" w:ascii="仿宋_GB2312" w:eastAsia="仿宋_GB2312"/>
          <w:b/>
          <w:sz w:val="32"/>
          <w:szCs w:val="32"/>
        </w:rPr>
        <w:t>（16分）</w:t>
      </w:r>
      <w:r>
        <w:rPr>
          <w:rFonts w:hint="eastAsia" w:ascii="仿宋_GB2312" w:eastAsia="仿宋_GB2312"/>
          <w:b/>
          <w:kern w:val="0"/>
          <w:sz w:val="32"/>
          <w:szCs w:val="32"/>
          <w:shd w:val="clear" w:color="auto" w:fill="FFFFFF"/>
        </w:rPr>
        <w:t>。</w:t>
      </w:r>
      <w:r>
        <w:rPr>
          <w:rFonts w:hint="eastAsia" w:ascii="仿宋_GB2312" w:hAnsi="宋体" w:eastAsia="仿宋_GB2312"/>
          <w:sz w:val="32"/>
          <w:szCs w:val="32"/>
        </w:rPr>
        <w:t>通过对柴油货车远端分流管控及老旧车淘汰，减少了环境污染，提升了空气质量。</w:t>
      </w:r>
    </w:p>
    <w:p w14:paraId="4596C4E8">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四、评价结论</w:t>
      </w:r>
    </w:p>
    <w:p w14:paraId="0AC8C70C">
      <w:pPr>
        <w:spacing w:line="560" w:lineRule="exact"/>
        <w:ind w:firstLine="640" w:firstLineChars="200"/>
        <w:rPr>
          <w:rFonts w:ascii="仿宋_GB2312" w:eastAsia="仿宋_GB2312"/>
          <w:sz w:val="32"/>
          <w:szCs w:val="32"/>
        </w:rPr>
      </w:pPr>
      <w:r>
        <w:rPr>
          <w:rFonts w:hint="eastAsia" w:ascii="仿宋_GB2312" w:eastAsia="仿宋_GB2312"/>
          <w:sz w:val="32"/>
          <w:szCs w:val="32"/>
        </w:rPr>
        <w:t>从评价情况来看，项目的预算资金管理科学合理，使用规范，完成了项目的既定目标，达到了预期使用效果，得分是100分。</w:t>
      </w:r>
    </w:p>
    <w:p w14:paraId="78FF4333">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14:paraId="3FFCDA71">
      <w:pPr>
        <w:pStyle w:val="5"/>
        <w:autoSpaceDE w:val="0"/>
        <w:spacing w:line="560" w:lineRule="exact"/>
        <w:ind w:firstLine="640" w:firstLineChars="200"/>
        <w:rPr>
          <w:rFonts w:ascii="仿宋_GB2312" w:eastAsia="仿宋_GB2312"/>
          <w:sz w:val="32"/>
          <w:szCs w:val="32"/>
        </w:rPr>
      </w:pPr>
      <w:r>
        <w:rPr>
          <w:rFonts w:hint="eastAsia" w:ascii="仿宋_GB2312" w:eastAsia="仿宋_GB2312"/>
          <w:sz w:val="32"/>
          <w:szCs w:val="32"/>
        </w:rPr>
        <w:t>无。</w:t>
      </w:r>
    </w:p>
    <w:p w14:paraId="01739513">
      <w:pPr>
        <w:pStyle w:val="5"/>
        <w:autoSpaceDE w:val="0"/>
        <w:spacing w:line="560" w:lineRule="exact"/>
        <w:ind w:firstLine="640" w:firstLineChars="200"/>
        <w:rPr>
          <w:rFonts w:ascii="黑体" w:hAnsi="黑体" w:eastAsia="黑体"/>
          <w:sz w:val="32"/>
          <w:szCs w:val="32"/>
        </w:rPr>
      </w:pPr>
      <w:r>
        <w:rPr>
          <w:rFonts w:hint="eastAsia" w:ascii="黑体" w:hAnsi="黑体" w:eastAsia="黑体"/>
          <w:sz w:val="32"/>
          <w:szCs w:val="32"/>
        </w:rPr>
        <w:t>六、改进建议</w:t>
      </w:r>
    </w:p>
    <w:p w14:paraId="6C56191B">
      <w:pPr>
        <w:autoSpaceDE w:val="0"/>
        <w:spacing w:line="560" w:lineRule="exact"/>
        <w:jc w:val="left"/>
        <w:rPr>
          <w:rFonts w:ascii="仿宋_GB2312" w:eastAsia="仿宋_GB2312"/>
          <w:kern w:val="0"/>
          <w:sz w:val="32"/>
          <w:szCs w:val="32"/>
        </w:rPr>
      </w:pPr>
      <w:r>
        <w:rPr>
          <w:rFonts w:hint="eastAsia" w:ascii="仿宋_GB2312" w:eastAsia="仿宋_GB2312"/>
          <w:kern w:val="0"/>
          <w:sz w:val="32"/>
          <w:szCs w:val="32"/>
          <w:shd w:val="clear" w:color="auto" w:fill="FFFFFF"/>
        </w:rPr>
        <w:t xml:space="preserve"> </w:t>
      </w:r>
      <w:r>
        <w:rPr>
          <w:rFonts w:hint="eastAsia" w:ascii="仿宋_GB2312" w:eastAsia="仿宋_GB2312"/>
          <w:kern w:val="0"/>
          <w:sz w:val="32"/>
          <w:szCs w:val="32"/>
        </w:rPr>
        <w:t xml:space="preserve">   无。</w:t>
      </w:r>
    </w:p>
    <w:p w14:paraId="2946A0CE">
      <w:pPr>
        <w:autoSpaceDE w:val="0"/>
        <w:snapToGrid w:val="0"/>
        <w:spacing w:line="560" w:lineRule="exact"/>
        <w:ind w:firstLine="640" w:firstLineChars="200"/>
        <w:rPr>
          <w:rFonts w:ascii="仿宋_GB2312" w:eastAsia="仿宋_GB2312"/>
          <w:kern w:val="0"/>
          <w:sz w:val="32"/>
          <w:szCs w:val="32"/>
          <w:shd w:val="clear" w:color="auto" w:fill="FFFFFF"/>
        </w:rPr>
      </w:pPr>
      <w:r>
        <w:rPr>
          <w:rFonts w:hint="eastAsia" w:ascii="仿宋_GB2312" w:eastAsia="仿宋_GB2312"/>
          <w:kern w:val="0"/>
          <w:sz w:val="32"/>
          <w:szCs w:val="32"/>
          <w:shd w:val="clear" w:color="auto" w:fill="FFFFFF"/>
        </w:rPr>
        <w:t xml:space="preserve"> </w:t>
      </w:r>
    </w:p>
    <w:p w14:paraId="1B761EC6">
      <w:pPr>
        <w:pStyle w:val="11"/>
        <w:autoSpaceDE w:val="0"/>
        <w:spacing w:after="0" w:line="560" w:lineRule="exact"/>
        <w:ind w:leftChars="0" w:firstLine="640"/>
        <w:rPr>
          <w:rFonts w:eastAsia="仿宋_GB2312"/>
          <w:sz w:val="32"/>
          <w:szCs w:val="32"/>
        </w:rPr>
      </w:pPr>
      <w:r>
        <w:rPr>
          <w:rFonts w:hint="eastAsia" w:eastAsia="仿宋_GB2312"/>
          <w:sz w:val="32"/>
          <w:szCs w:val="32"/>
        </w:rPr>
        <w:t xml:space="preserve"> </w:t>
      </w:r>
    </w:p>
    <w:p w14:paraId="4B2F8AEB">
      <w:pPr>
        <w:spacing w:line="560" w:lineRule="exact"/>
        <w:ind w:firstLine="640" w:firstLineChars="200"/>
        <w:rPr>
          <w:rFonts w:ascii="仿宋_GB2312" w:eastAsia="仿宋_GB2312"/>
          <w:sz w:val="32"/>
          <w:szCs w:val="32"/>
        </w:rPr>
      </w:pPr>
    </w:p>
    <w:p w14:paraId="1CC8ACE9">
      <w:pPr>
        <w:spacing w:line="560" w:lineRule="exact"/>
        <w:ind w:firstLine="640" w:firstLineChars="200"/>
        <w:rPr>
          <w:rFonts w:ascii="仿宋_GB2312" w:eastAsia="仿宋_GB2312"/>
          <w:sz w:val="32"/>
          <w:szCs w:val="32"/>
        </w:rPr>
      </w:pPr>
    </w:p>
    <w:p w14:paraId="0BE01005">
      <w:pPr>
        <w:spacing w:line="560" w:lineRule="exact"/>
        <w:ind w:firstLine="640" w:firstLineChars="200"/>
        <w:rPr>
          <w:rFonts w:ascii="仿宋_GB2312" w:eastAsia="仿宋_GB2312"/>
          <w:sz w:val="32"/>
          <w:szCs w:val="32"/>
        </w:rPr>
      </w:pPr>
    </w:p>
    <w:p w14:paraId="3F755785">
      <w:pPr>
        <w:spacing w:line="560" w:lineRule="exact"/>
        <w:ind w:firstLine="640" w:firstLineChars="200"/>
        <w:rPr>
          <w:rFonts w:ascii="仿宋_GB2312" w:eastAsia="仿宋_GB2312"/>
          <w:sz w:val="32"/>
          <w:szCs w:val="32"/>
        </w:rPr>
      </w:pPr>
    </w:p>
    <w:p w14:paraId="094EE584">
      <w:pPr>
        <w:spacing w:line="560" w:lineRule="exact"/>
        <w:ind w:firstLine="640" w:firstLineChars="200"/>
        <w:rPr>
          <w:rFonts w:ascii="仿宋_GB2312" w:eastAsia="仿宋_GB2312"/>
          <w:sz w:val="32"/>
          <w:szCs w:val="32"/>
        </w:rPr>
      </w:pPr>
    </w:p>
    <w:p w14:paraId="582BA91A">
      <w:pPr>
        <w:spacing w:line="560" w:lineRule="exact"/>
        <w:ind w:firstLine="640" w:firstLineChars="200"/>
        <w:rPr>
          <w:rFonts w:ascii="仿宋_GB2312" w:eastAsia="仿宋_GB2312"/>
          <w:sz w:val="32"/>
          <w:szCs w:val="32"/>
        </w:rPr>
      </w:pPr>
    </w:p>
    <w:p w14:paraId="61D1217E">
      <w:pPr>
        <w:spacing w:line="560" w:lineRule="exact"/>
        <w:ind w:firstLine="640" w:firstLineChars="200"/>
        <w:rPr>
          <w:rFonts w:ascii="仿宋_GB2312" w:eastAsia="仿宋_GB2312"/>
          <w:sz w:val="32"/>
          <w:szCs w:val="32"/>
        </w:rPr>
      </w:pPr>
    </w:p>
    <w:p w14:paraId="422E6125">
      <w:pPr>
        <w:spacing w:line="560" w:lineRule="exact"/>
        <w:ind w:firstLine="640" w:firstLineChars="200"/>
        <w:rPr>
          <w:rFonts w:ascii="仿宋_GB2312" w:eastAsia="仿宋_GB2312"/>
          <w:sz w:val="32"/>
          <w:szCs w:val="32"/>
        </w:rPr>
      </w:pPr>
    </w:p>
    <w:p w14:paraId="12591C57">
      <w:pPr>
        <w:spacing w:line="560" w:lineRule="exact"/>
        <w:ind w:firstLine="640" w:firstLineChars="200"/>
        <w:rPr>
          <w:rFonts w:ascii="仿宋_GB2312" w:eastAsia="仿宋_GB2312"/>
          <w:sz w:val="32"/>
          <w:szCs w:val="32"/>
        </w:rPr>
      </w:pPr>
    </w:p>
    <w:p w14:paraId="78287552">
      <w:pPr>
        <w:spacing w:line="560" w:lineRule="exact"/>
        <w:ind w:firstLine="640" w:firstLineChars="200"/>
        <w:rPr>
          <w:rFonts w:ascii="仿宋_GB2312" w:eastAsia="仿宋_GB2312"/>
          <w:sz w:val="32"/>
          <w:szCs w:val="32"/>
        </w:rPr>
      </w:pPr>
    </w:p>
    <w:p w14:paraId="1E73A889">
      <w:pPr>
        <w:spacing w:line="560" w:lineRule="exact"/>
        <w:ind w:firstLine="640" w:firstLineChars="200"/>
        <w:rPr>
          <w:rFonts w:ascii="仿宋_GB2312" w:eastAsia="仿宋_GB2312"/>
          <w:sz w:val="32"/>
          <w:szCs w:val="32"/>
        </w:rPr>
      </w:pPr>
    </w:p>
    <w:p w14:paraId="7BD0813D">
      <w:pPr>
        <w:spacing w:line="560" w:lineRule="exact"/>
        <w:ind w:firstLine="640" w:firstLineChars="200"/>
        <w:rPr>
          <w:rFonts w:ascii="仿宋_GB2312" w:eastAsia="仿宋_GB2312"/>
          <w:sz w:val="32"/>
          <w:szCs w:val="32"/>
        </w:rPr>
      </w:pPr>
    </w:p>
    <w:p w14:paraId="34A83519">
      <w:pPr>
        <w:spacing w:line="560" w:lineRule="exact"/>
        <w:ind w:firstLine="640" w:firstLineChars="200"/>
        <w:rPr>
          <w:rFonts w:ascii="仿宋_GB2312" w:eastAsia="仿宋_GB2312"/>
          <w:sz w:val="32"/>
          <w:szCs w:val="32"/>
        </w:rPr>
      </w:pPr>
    </w:p>
    <w:p w14:paraId="5ADA37B5">
      <w:pPr>
        <w:spacing w:line="560" w:lineRule="exact"/>
        <w:ind w:firstLine="640" w:firstLineChars="200"/>
        <w:rPr>
          <w:rFonts w:ascii="仿宋_GB2312" w:eastAsia="仿宋_GB2312"/>
          <w:sz w:val="32"/>
          <w:szCs w:val="32"/>
        </w:rPr>
      </w:pPr>
    </w:p>
    <w:p w14:paraId="60200AC0">
      <w:pPr>
        <w:spacing w:line="560" w:lineRule="exact"/>
        <w:ind w:firstLine="640" w:firstLineChars="200"/>
        <w:rPr>
          <w:rFonts w:ascii="仿宋_GB2312" w:eastAsia="仿宋_GB2312"/>
          <w:sz w:val="32"/>
          <w:szCs w:val="32"/>
        </w:rPr>
      </w:pPr>
    </w:p>
    <w:p w14:paraId="7EFDAA13">
      <w:pPr>
        <w:spacing w:line="560" w:lineRule="exact"/>
        <w:ind w:firstLine="640" w:firstLineChars="200"/>
        <w:rPr>
          <w:rFonts w:ascii="仿宋_GB2312" w:eastAsia="仿宋_GB2312"/>
          <w:sz w:val="32"/>
          <w:szCs w:val="32"/>
        </w:rPr>
      </w:pPr>
    </w:p>
    <w:p w14:paraId="47946514">
      <w:pPr>
        <w:spacing w:line="560" w:lineRule="exact"/>
        <w:rPr>
          <w:rFonts w:hint="eastAsia" w:ascii="仿宋_GB2312" w:eastAsia="仿宋_GB2312"/>
          <w:sz w:val="32"/>
          <w:szCs w:val="32"/>
        </w:rPr>
      </w:pPr>
    </w:p>
    <w:p w14:paraId="06DA1611">
      <w:pPr>
        <w:spacing w:line="560" w:lineRule="exact"/>
        <w:ind w:firstLine="880" w:firstLineChars="200"/>
        <w:jc w:val="center"/>
        <w:rPr>
          <w:rFonts w:hint="eastAsia" w:ascii="黑体" w:hAnsi="黑体" w:eastAsia="黑体"/>
          <w:sz w:val="44"/>
          <w:szCs w:val="44"/>
        </w:rPr>
      </w:pPr>
    </w:p>
    <w:p w14:paraId="67861EB4">
      <w:pPr>
        <w:spacing w:line="560" w:lineRule="exact"/>
        <w:ind w:firstLine="880" w:firstLineChars="200"/>
        <w:jc w:val="center"/>
        <w:rPr>
          <w:rFonts w:hint="eastAsia" w:ascii="黑体" w:hAnsi="黑体" w:eastAsia="黑体"/>
          <w:sz w:val="44"/>
          <w:szCs w:val="44"/>
        </w:rPr>
      </w:pPr>
    </w:p>
    <w:p w14:paraId="1F1AA53F">
      <w:pPr>
        <w:spacing w:line="560" w:lineRule="exact"/>
        <w:ind w:firstLine="880" w:firstLineChars="200"/>
        <w:jc w:val="center"/>
        <w:rPr>
          <w:rFonts w:hint="eastAsia" w:ascii="黑体" w:hAnsi="黑体" w:eastAsia="黑体"/>
          <w:sz w:val="44"/>
          <w:szCs w:val="44"/>
        </w:rPr>
      </w:pPr>
    </w:p>
    <w:p w14:paraId="7B32374D">
      <w:pPr>
        <w:pStyle w:val="3"/>
        <w:bidi w:val="0"/>
        <w:jc w:val="center"/>
        <w:rPr>
          <w:rFonts w:hint="eastAsia"/>
        </w:rPr>
      </w:pPr>
      <w:bookmarkStart w:id="17" w:name="_Toc28459"/>
      <w:r>
        <w:rPr>
          <w:rFonts w:hint="eastAsia"/>
        </w:rPr>
        <w:t>第五部分 附表</w:t>
      </w:r>
      <w:bookmarkEnd w:id="17"/>
    </w:p>
    <w:p w14:paraId="6667FABA">
      <w:pPr>
        <w:spacing w:line="560" w:lineRule="exact"/>
        <w:ind w:firstLine="640" w:firstLineChars="200"/>
        <w:rPr>
          <w:rFonts w:ascii="仿宋_GB2312" w:eastAsia="仿宋_GB2312"/>
          <w:sz w:val="32"/>
          <w:szCs w:val="32"/>
        </w:rPr>
      </w:pPr>
    </w:p>
    <w:p w14:paraId="4EA5D025">
      <w:pPr>
        <w:pStyle w:val="4"/>
        <w:bidi w:val="0"/>
        <w:rPr>
          <w:rFonts w:hint="eastAsia" w:ascii="仿宋" w:hAnsi="仿宋" w:eastAsia="仿宋" w:cs="仿宋"/>
          <w:b w:val="0"/>
          <w:bCs/>
        </w:rPr>
      </w:pPr>
      <w:bookmarkStart w:id="18" w:name="_Toc9018"/>
      <w:r>
        <w:rPr>
          <w:rFonts w:hint="eastAsia" w:ascii="仿宋" w:hAnsi="仿宋" w:eastAsia="仿宋" w:cs="仿宋"/>
          <w:b w:val="0"/>
          <w:bCs/>
        </w:rPr>
        <w:t>一、收入支出决算总表</w:t>
      </w:r>
      <w:bookmarkEnd w:id="18"/>
    </w:p>
    <w:p w14:paraId="3D7181DE">
      <w:pPr>
        <w:pStyle w:val="4"/>
        <w:bidi w:val="0"/>
        <w:rPr>
          <w:rFonts w:hint="eastAsia" w:ascii="仿宋" w:hAnsi="仿宋" w:eastAsia="仿宋" w:cs="仿宋"/>
          <w:b w:val="0"/>
          <w:bCs/>
        </w:rPr>
      </w:pPr>
      <w:bookmarkStart w:id="19" w:name="_Toc30549"/>
      <w:r>
        <w:rPr>
          <w:rFonts w:hint="eastAsia" w:ascii="仿宋" w:hAnsi="仿宋" w:eastAsia="仿宋" w:cs="仿宋"/>
          <w:b w:val="0"/>
          <w:bCs/>
        </w:rPr>
        <w:t>二、收入决算表</w:t>
      </w:r>
      <w:bookmarkEnd w:id="19"/>
    </w:p>
    <w:p w14:paraId="5BD5B422">
      <w:pPr>
        <w:pStyle w:val="4"/>
        <w:bidi w:val="0"/>
        <w:rPr>
          <w:rFonts w:hint="eastAsia" w:ascii="仿宋" w:hAnsi="仿宋" w:eastAsia="仿宋" w:cs="仿宋"/>
          <w:b w:val="0"/>
          <w:bCs/>
        </w:rPr>
      </w:pPr>
      <w:bookmarkStart w:id="20" w:name="_Toc925"/>
      <w:r>
        <w:rPr>
          <w:rFonts w:hint="eastAsia" w:ascii="仿宋" w:hAnsi="仿宋" w:eastAsia="仿宋" w:cs="仿宋"/>
          <w:b w:val="0"/>
          <w:bCs/>
        </w:rPr>
        <w:t>三、支出决算表</w:t>
      </w:r>
      <w:bookmarkEnd w:id="20"/>
    </w:p>
    <w:p w14:paraId="558FF1E9">
      <w:pPr>
        <w:pStyle w:val="4"/>
        <w:bidi w:val="0"/>
        <w:rPr>
          <w:rFonts w:hint="eastAsia" w:ascii="仿宋" w:hAnsi="仿宋" w:eastAsia="仿宋" w:cs="仿宋"/>
          <w:b w:val="0"/>
          <w:bCs/>
        </w:rPr>
      </w:pPr>
      <w:bookmarkStart w:id="21" w:name="_Toc30890"/>
      <w:r>
        <w:rPr>
          <w:rFonts w:hint="eastAsia" w:ascii="仿宋" w:hAnsi="仿宋" w:eastAsia="仿宋" w:cs="仿宋"/>
          <w:b w:val="0"/>
          <w:bCs/>
        </w:rPr>
        <w:t>四、财政拨款收入支出决算总表</w:t>
      </w:r>
      <w:bookmarkEnd w:id="21"/>
    </w:p>
    <w:p w14:paraId="3B63781A">
      <w:pPr>
        <w:pStyle w:val="4"/>
        <w:bidi w:val="0"/>
        <w:rPr>
          <w:rFonts w:hint="eastAsia" w:ascii="仿宋" w:hAnsi="仿宋" w:eastAsia="仿宋" w:cs="仿宋"/>
          <w:b w:val="0"/>
          <w:bCs/>
        </w:rPr>
      </w:pPr>
      <w:bookmarkStart w:id="22" w:name="_Toc28870"/>
      <w:r>
        <w:rPr>
          <w:rFonts w:hint="eastAsia" w:ascii="仿宋" w:hAnsi="仿宋" w:eastAsia="仿宋" w:cs="仿宋"/>
          <w:b w:val="0"/>
          <w:bCs/>
        </w:rPr>
        <w:t>五、财政拨款支出决算明细表</w:t>
      </w:r>
      <w:bookmarkEnd w:id="22"/>
    </w:p>
    <w:p w14:paraId="6C1521C4">
      <w:pPr>
        <w:pStyle w:val="4"/>
        <w:bidi w:val="0"/>
        <w:rPr>
          <w:rFonts w:hint="eastAsia" w:ascii="仿宋" w:hAnsi="仿宋" w:eastAsia="仿宋" w:cs="仿宋"/>
          <w:b w:val="0"/>
          <w:bCs/>
        </w:rPr>
      </w:pPr>
      <w:bookmarkStart w:id="23" w:name="_Toc21467"/>
      <w:r>
        <w:rPr>
          <w:rFonts w:hint="eastAsia" w:ascii="仿宋" w:hAnsi="仿宋" w:eastAsia="仿宋" w:cs="仿宋"/>
          <w:b w:val="0"/>
          <w:bCs/>
        </w:rPr>
        <w:t>六、一般公共预算</w:t>
      </w:r>
      <w:bookmarkEnd w:id="23"/>
    </w:p>
    <w:p w14:paraId="22C94D3B">
      <w:pPr>
        <w:pStyle w:val="4"/>
        <w:bidi w:val="0"/>
        <w:rPr>
          <w:rFonts w:hint="eastAsia" w:ascii="仿宋" w:hAnsi="仿宋" w:eastAsia="仿宋" w:cs="仿宋"/>
          <w:b w:val="0"/>
          <w:bCs/>
        </w:rPr>
      </w:pPr>
      <w:bookmarkStart w:id="24" w:name="_Toc5330"/>
      <w:r>
        <w:rPr>
          <w:rFonts w:hint="eastAsia" w:ascii="仿宋" w:hAnsi="仿宋" w:eastAsia="仿宋" w:cs="仿宋"/>
          <w:b w:val="0"/>
          <w:bCs/>
        </w:rPr>
        <w:t>财政拨款支出决算表</w:t>
      </w:r>
      <w:bookmarkEnd w:id="24"/>
    </w:p>
    <w:p w14:paraId="347287A8">
      <w:pPr>
        <w:pStyle w:val="4"/>
        <w:bidi w:val="0"/>
        <w:rPr>
          <w:rFonts w:hint="eastAsia" w:ascii="仿宋" w:hAnsi="仿宋" w:eastAsia="仿宋" w:cs="仿宋"/>
          <w:b w:val="0"/>
          <w:bCs/>
        </w:rPr>
      </w:pPr>
      <w:bookmarkStart w:id="25" w:name="_Toc28153"/>
      <w:r>
        <w:rPr>
          <w:rFonts w:hint="eastAsia" w:ascii="仿宋" w:hAnsi="仿宋" w:eastAsia="仿宋" w:cs="仿宋"/>
          <w:b w:val="0"/>
          <w:bCs/>
        </w:rPr>
        <w:t>七、一般公共预算财政拨款支出决算明细表</w:t>
      </w:r>
      <w:bookmarkEnd w:id="25"/>
    </w:p>
    <w:p w14:paraId="115F52C4">
      <w:pPr>
        <w:pStyle w:val="4"/>
        <w:bidi w:val="0"/>
        <w:rPr>
          <w:rFonts w:hint="eastAsia" w:ascii="仿宋" w:hAnsi="仿宋" w:eastAsia="仿宋" w:cs="仿宋"/>
          <w:b w:val="0"/>
          <w:bCs/>
        </w:rPr>
      </w:pPr>
      <w:bookmarkStart w:id="26" w:name="_Toc15954"/>
      <w:r>
        <w:rPr>
          <w:rFonts w:hint="eastAsia" w:ascii="仿宋" w:hAnsi="仿宋" w:eastAsia="仿宋" w:cs="仿宋"/>
          <w:b w:val="0"/>
          <w:bCs/>
        </w:rPr>
        <w:t>八、一般公共预算财政拨款基本支出决算表</w:t>
      </w:r>
      <w:bookmarkEnd w:id="26"/>
    </w:p>
    <w:p w14:paraId="6C7B0BDE">
      <w:pPr>
        <w:pStyle w:val="4"/>
        <w:bidi w:val="0"/>
        <w:rPr>
          <w:rFonts w:hint="eastAsia" w:ascii="仿宋" w:hAnsi="仿宋" w:eastAsia="仿宋" w:cs="仿宋"/>
          <w:b w:val="0"/>
          <w:bCs/>
        </w:rPr>
      </w:pPr>
      <w:bookmarkStart w:id="27" w:name="_Toc27148"/>
      <w:r>
        <w:rPr>
          <w:rFonts w:hint="eastAsia" w:ascii="仿宋" w:hAnsi="仿宋" w:eastAsia="仿宋" w:cs="仿宋"/>
          <w:b w:val="0"/>
          <w:bCs/>
        </w:rPr>
        <w:t>九、一般公共预算财政拨款项目支出决算表</w:t>
      </w:r>
      <w:bookmarkEnd w:id="27"/>
    </w:p>
    <w:p w14:paraId="263EDB0D">
      <w:pPr>
        <w:pStyle w:val="4"/>
        <w:bidi w:val="0"/>
        <w:rPr>
          <w:rFonts w:hint="eastAsia" w:ascii="仿宋" w:hAnsi="仿宋" w:eastAsia="仿宋" w:cs="仿宋"/>
          <w:b w:val="0"/>
          <w:bCs/>
        </w:rPr>
      </w:pPr>
      <w:bookmarkStart w:id="28" w:name="_Toc16381"/>
      <w:r>
        <w:rPr>
          <w:rFonts w:hint="eastAsia" w:ascii="仿宋" w:hAnsi="仿宋" w:eastAsia="仿宋" w:cs="仿宋"/>
          <w:b w:val="0"/>
          <w:bCs/>
        </w:rPr>
        <w:t>十、政府性基金预算财政拨款收入支出决算表</w:t>
      </w:r>
      <w:bookmarkEnd w:id="28"/>
    </w:p>
    <w:p w14:paraId="7839CDAE">
      <w:pPr>
        <w:pStyle w:val="4"/>
        <w:bidi w:val="0"/>
        <w:rPr>
          <w:rFonts w:hint="eastAsia" w:ascii="仿宋" w:hAnsi="仿宋" w:eastAsia="仿宋" w:cs="仿宋"/>
          <w:b w:val="0"/>
          <w:bCs/>
        </w:rPr>
      </w:pPr>
      <w:bookmarkStart w:id="29" w:name="_Toc25721"/>
      <w:r>
        <w:rPr>
          <w:rFonts w:hint="eastAsia" w:ascii="仿宋" w:hAnsi="仿宋" w:eastAsia="仿宋" w:cs="仿宋"/>
          <w:b w:val="0"/>
          <w:bCs/>
        </w:rPr>
        <w:t>十一、国有资本经营预算财政拨款收入支出决算表</w:t>
      </w:r>
      <w:bookmarkEnd w:id="29"/>
    </w:p>
    <w:p w14:paraId="119BE71E">
      <w:pPr>
        <w:pStyle w:val="4"/>
        <w:bidi w:val="0"/>
        <w:rPr>
          <w:rFonts w:hint="eastAsia" w:ascii="仿宋" w:hAnsi="仿宋" w:eastAsia="仿宋" w:cs="仿宋"/>
          <w:b w:val="0"/>
          <w:bCs/>
        </w:rPr>
      </w:pPr>
      <w:bookmarkStart w:id="30" w:name="_Toc12045"/>
      <w:r>
        <w:rPr>
          <w:rFonts w:hint="eastAsia" w:ascii="仿宋" w:hAnsi="仿宋" w:eastAsia="仿宋" w:cs="仿宋"/>
          <w:b w:val="0"/>
          <w:bCs/>
        </w:rPr>
        <w:t>十二、国有资本经营预算财政拨款支出决算表</w:t>
      </w:r>
      <w:bookmarkEnd w:id="30"/>
    </w:p>
    <w:p w14:paraId="203C4B4D">
      <w:pPr>
        <w:pStyle w:val="4"/>
        <w:bidi w:val="0"/>
        <w:rPr>
          <w:rFonts w:hint="eastAsia" w:ascii="仿宋" w:hAnsi="仿宋" w:eastAsia="仿宋" w:cs="仿宋"/>
          <w:b w:val="0"/>
          <w:bCs/>
        </w:rPr>
      </w:pPr>
      <w:bookmarkStart w:id="31" w:name="_Toc26222"/>
      <w:r>
        <w:rPr>
          <w:rFonts w:hint="eastAsia" w:ascii="仿宋" w:hAnsi="仿宋" w:eastAsia="仿宋" w:cs="仿宋"/>
          <w:b w:val="0"/>
          <w:bCs/>
        </w:rPr>
        <w:t>十三、财政拨款“三公”经费支出决算表</w:t>
      </w:r>
      <w:bookmarkEnd w:id="31"/>
    </w:p>
    <w:p w14:paraId="42EDE8E3">
      <w:pPr>
        <w:spacing w:line="560" w:lineRule="exact"/>
        <w:ind w:firstLine="640" w:firstLineChars="200"/>
        <w:rPr>
          <w:rFonts w:hint="eastAsia" w:ascii="仿宋_GB2312" w:eastAsia="仿宋_GB2312"/>
          <w:sz w:val="32"/>
          <w:szCs w:val="32"/>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仿宋_GB2312"/>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83F54">
    <w:pPr>
      <w:pStyle w:val="7"/>
      <w:tabs>
        <w:tab w:val="left" w:pos="4701"/>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4408C">
    <w:pPr>
      <w:pStyle w:val="7"/>
      <w:tabs>
        <w:tab w:val="left" w:pos="4701"/>
        <w:tab w:val="clear" w:pos="4153"/>
      </w:tabs>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6E0C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78D1BD">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B78D1BD">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78F98">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FCC236"/>
    <w:multiLevelType w:val="singleLevel"/>
    <w:tmpl w:val="99FCC23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1CC"/>
    <w:rsid w:val="001C4586"/>
    <w:rsid w:val="001F31CC"/>
    <w:rsid w:val="00423F31"/>
    <w:rsid w:val="00451088"/>
    <w:rsid w:val="00477630"/>
    <w:rsid w:val="00545902"/>
    <w:rsid w:val="005467D8"/>
    <w:rsid w:val="006E3D51"/>
    <w:rsid w:val="00796EB7"/>
    <w:rsid w:val="008F2966"/>
    <w:rsid w:val="00921A22"/>
    <w:rsid w:val="009866D6"/>
    <w:rsid w:val="00996DD6"/>
    <w:rsid w:val="00A82EF7"/>
    <w:rsid w:val="00A951C1"/>
    <w:rsid w:val="00AA117A"/>
    <w:rsid w:val="00AB00ED"/>
    <w:rsid w:val="00B71444"/>
    <w:rsid w:val="00BB28ED"/>
    <w:rsid w:val="00C90765"/>
    <w:rsid w:val="00E01DF0"/>
    <w:rsid w:val="00EE5AD2"/>
    <w:rsid w:val="00F22D0C"/>
    <w:rsid w:val="00F91AE6"/>
    <w:rsid w:val="03EE3CE2"/>
    <w:rsid w:val="05C53B30"/>
    <w:rsid w:val="07F06F31"/>
    <w:rsid w:val="0AF50259"/>
    <w:rsid w:val="0C82752E"/>
    <w:rsid w:val="1447720D"/>
    <w:rsid w:val="146B03AF"/>
    <w:rsid w:val="1C850D11"/>
    <w:rsid w:val="1F5C21FD"/>
    <w:rsid w:val="284068DD"/>
    <w:rsid w:val="2C6D356D"/>
    <w:rsid w:val="2F626D24"/>
    <w:rsid w:val="36AC3612"/>
    <w:rsid w:val="36C91605"/>
    <w:rsid w:val="36EF7EF6"/>
    <w:rsid w:val="390F1C37"/>
    <w:rsid w:val="3ABC194A"/>
    <w:rsid w:val="40B97058"/>
    <w:rsid w:val="40FC2C96"/>
    <w:rsid w:val="488E0D86"/>
    <w:rsid w:val="48A03E20"/>
    <w:rsid w:val="4BC13DBE"/>
    <w:rsid w:val="4CEF5594"/>
    <w:rsid w:val="4D44414D"/>
    <w:rsid w:val="4FB831D5"/>
    <w:rsid w:val="51CB5BEE"/>
    <w:rsid w:val="537219A6"/>
    <w:rsid w:val="5F2C2E05"/>
    <w:rsid w:val="6071159A"/>
    <w:rsid w:val="60DD2497"/>
    <w:rsid w:val="619D5782"/>
    <w:rsid w:val="6A924AA8"/>
    <w:rsid w:val="6D995997"/>
    <w:rsid w:val="723D3BDA"/>
    <w:rsid w:val="78AE1B43"/>
    <w:rsid w:val="78D45799"/>
    <w:rsid w:val="7A6F1DFE"/>
    <w:rsid w:val="7C9419F5"/>
    <w:rsid w:val="7E4B093D"/>
    <w:rsid w:val="7FFFF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3">
    <w:name w:val="heading 1"/>
    <w:basedOn w:val="1"/>
    <w:next w:val="1"/>
    <w:qFormat/>
    <w:uiPriority w:val="9"/>
    <w:pPr>
      <w:keepNext/>
      <w:keepLines/>
      <w:spacing w:before="340" w:after="330" w:line="576" w:lineRule="auto"/>
      <w:outlineLvl w:val="0"/>
    </w:pPr>
    <w:rPr>
      <w:rFonts w:ascii="Times New Roman" w:hAnsi="Times New Roman" w:eastAsia="黑体" w:cs="Times New Roman"/>
      <w:b/>
      <w:kern w:val="44"/>
      <w:sz w:val="32"/>
      <w:szCs w:val="22"/>
    </w:rPr>
  </w:style>
  <w:style w:type="paragraph" w:styleId="4">
    <w:name w:val="heading 2"/>
    <w:basedOn w:val="1"/>
    <w:next w:val="1"/>
    <w:unhideWhenUsed/>
    <w:qFormat/>
    <w:uiPriority w:val="9"/>
    <w:pPr>
      <w:keepNext/>
      <w:keepLines/>
      <w:spacing w:before="120" w:after="120" w:line="560" w:lineRule="exact"/>
      <w:ind w:firstLine="960" w:firstLineChars="200"/>
      <w:jc w:val="left"/>
      <w:outlineLvl w:val="1"/>
    </w:pPr>
    <w:rPr>
      <w:rFonts w:ascii="Arial" w:hAnsi="Arial" w:eastAsia="黑体" w:cs="Times New Roman"/>
      <w:bCs/>
      <w:sz w:val="32"/>
      <w:szCs w:val="32"/>
    </w:rPr>
  </w:style>
  <w:style w:type="character" w:default="1" w:styleId="13">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basedOn w:val="1"/>
    <w:next w:val="1"/>
    <w:qFormat/>
    <w:uiPriority w:val="0"/>
    <w:pPr>
      <w:keepNext/>
      <w:keepLines/>
      <w:spacing w:before="280" w:after="156" w:line="376" w:lineRule="auto"/>
      <w:jc w:val="left"/>
      <w:outlineLvl w:val="4"/>
    </w:pPr>
    <w:rPr>
      <w:rFonts w:ascii="Arial" w:hAnsi="Arial" w:eastAsia="黑体"/>
      <w:b/>
      <w:sz w:val="24"/>
      <w:szCs w:val="24"/>
    </w:rPr>
  </w:style>
  <w:style w:type="paragraph" w:styleId="5">
    <w:name w:val="Body Text"/>
    <w:basedOn w:val="1"/>
    <w:link w:val="19"/>
    <w:qFormat/>
    <w:uiPriority w:val="99"/>
    <w:pPr>
      <w:spacing w:after="120"/>
    </w:pPr>
  </w:style>
  <w:style w:type="paragraph" w:styleId="6">
    <w:name w:val="Body Text Indent"/>
    <w:basedOn w:val="1"/>
    <w:link w:val="17"/>
    <w:semiHidden/>
    <w:unhideWhenUsed/>
    <w:qFormat/>
    <w:uiPriority w:val="99"/>
    <w:pPr>
      <w:spacing w:after="120"/>
      <w:ind w:left="420" w:leftChars="2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99"/>
    <w:pPr>
      <w:jc w:val="center"/>
    </w:pPr>
    <w:rPr>
      <w:rFonts w:ascii="Times New Roman" w:hAnsi="Times New Roman" w:eastAsia="仿宋_GB2312"/>
      <w:sz w:val="32"/>
      <w:szCs w:val="32"/>
    </w:rPr>
  </w:style>
  <w:style w:type="paragraph" w:styleId="10">
    <w:name w:val="toc 2"/>
    <w:basedOn w:val="1"/>
    <w:next w:val="1"/>
    <w:autoRedefine/>
    <w:semiHidden/>
    <w:unhideWhenUsed/>
    <w:qFormat/>
    <w:uiPriority w:val="39"/>
    <w:pPr>
      <w:ind w:left="420" w:leftChars="200"/>
    </w:pPr>
  </w:style>
  <w:style w:type="paragraph" w:styleId="11">
    <w:name w:val="Body Text First Indent 2"/>
    <w:basedOn w:val="6"/>
    <w:link w:val="18"/>
    <w:semiHidden/>
    <w:unhideWhenUsed/>
    <w:qFormat/>
    <w:uiPriority w:val="99"/>
    <w:pPr>
      <w:suppressAutoHyphens/>
      <w:spacing w:before="100" w:beforeAutospacing="1"/>
      <w:ind w:left="0" w:firstLine="420" w:firstLineChars="200"/>
    </w:pPr>
    <w:rPr>
      <w:rFonts w:ascii="仿宋_GB2312"/>
    </w:rPr>
  </w:style>
  <w:style w:type="character" w:customStyle="1" w:styleId="14">
    <w:name w:val="页眉 字符"/>
    <w:basedOn w:val="13"/>
    <w:link w:val="8"/>
    <w:qFormat/>
    <w:uiPriority w:val="99"/>
    <w:rPr>
      <w:rFonts w:ascii="Calibri" w:hAnsi="Calibri" w:eastAsia="宋体" w:cs="Times New Roman"/>
      <w:sz w:val="18"/>
      <w:szCs w:val="18"/>
    </w:rPr>
  </w:style>
  <w:style w:type="character" w:customStyle="1" w:styleId="15">
    <w:name w:val="页脚 字符"/>
    <w:basedOn w:val="13"/>
    <w:link w:val="7"/>
    <w:qFormat/>
    <w:uiPriority w:val="99"/>
    <w:rPr>
      <w:rFonts w:ascii="Calibri" w:hAnsi="Calibri" w:eastAsia="宋体" w:cs="Times New Roman"/>
      <w:sz w:val="18"/>
      <w:szCs w:val="18"/>
    </w:rPr>
  </w:style>
  <w:style w:type="character" w:customStyle="1" w:styleId="16">
    <w:name w:val="15"/>
    <w:basedOn w:val="13"/>
    <w:qFormat/>
    <w:uiPriority w:val="0"/>
    <w:rPr>
      <w:rFonts w:hint="default" w:ascii="Calibri" w:hAnsi="Calibri"/>
      <w:b/>
      <w:bCs/>
      <w:kern w:val="44"/>
      <w:sz w:val="44"/>
      <w:szCs w:val="44"/>
    </w:rPr>
  </w:style>
  <w:style w:type="character" w:customStyle="1" w:styleId="17">
    <w:name w:val="正文文本缩进 字符"/>
    <w:basedOn w:val="13"/>
    <w:link w:val="6"/>
    <w:semiHidden/>
    <w:qFormat/>
    <w:uiPriority w:val="99"/>
    <w:rPr>
      <w:rFonts w:ascii="Calibri" w:hAnsi="Calibri" w:eastAsia="宋体" w:cs="Times New Roman"/>
      <w:szCs w:val="21"/>
    </w:rPr>
  </w:style>
  <w:style w:type="character" w:customStyle="1" w:styleId="18">
    <w:name w:val="正文首行缩进 2 字符"/>
    <w:basedOn w:val="17"/>
    <w:link w:val="11"/>
    <w:semiHidden/>
    <w:qFormat/>
    <w:uiPriority w:val="99"/>
    <w:rPr>
      <w:rFonts w:ascii="仿宋_GB2312" w:hAnsi="Calibri" w:eastAsia="宋体" w:cs="Times New Roman"/>
      <w:szCs w:val="21"/>
    </w:rPr>
  </w:style>
  <w:style w:type="character" w:customStyle="1" w:styleId="19">
    <w:name w:val="正文文本 字符"/>
    <w:basedOn w:val="13"/>
    <w:link w:val="5"/>
    <w:qFormat/>
    <w:uiPriority w:val="99"/>
    <w:rPr>
      <w:rFonts w:ascii="Calibri" w:hAnsi="Calibri"/>
      <w:kern w:val="2"/>
      <w:sz w:val="21"/>
      <w:szCs w:val="21"/>
    </w:rPr>
  </w:style>
  <w:style w:type="paragraph" w:customStyle="1" w:styleId="20">
    <w:name w:val="四号正文"/>
    <w:basedOn w:val="1"/>
    <w:qFormat/>
    <w:uiPriority w:val="0"/>
    <w:pPr>
      <w:spacing w:line="360" w:lineRule="auto"/>
    </w:pPr>
    <w:rPr>
      <w:rFonts w:ascii="??" w:hAnsi="??"/>
      <w:color w:val="000000"/>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单位：万元</c:v>
                </c:pt>
              </c:strCache>
            </c:strRef>
          </c:tx>
          <c:spPr>
            <a:solidFill>
              <a:schemeClr val="accent1"/>
            </a:solidFill>
            <a:ln>
              <a:noFill/>
            </a:ln>
            <a:effectLst/>
          </c:spPr>
          <c:invertIfNegative val="0"/>
          <c:dLbls>
            <c:delete val="1"/>
          </c:dLbls>
          <c:cat>
            <c:strRef>
              <c:f>Sheet1!$A$2:$A$3</c:f>
              <c:strCache>
                <c:ptCount val="2"/>
                <c:pt idx="0">
                  <c:v>2023年</c:v>
                </c:pt>
                <c:pt idx="1">
                  <c:v>2024年</c:v>
                </c:pt>
              </c:strCache>
            </c:strRef>
          </c:cat>
          <c:val>
            <c:numRef>
              <c:f>Sheet1!$B$2:$B$3</c:f>
              <c:numCache>
                <c:formatCode>General</c:formatCode>
                <c:ptCount val="2"/>
                <c:pt idx="0">
                  <c:v>9685.7</c:v>
                </c:pt>
                <c:pt idx="1">
                  <c:v>10184.26</c:v>
                </c:pt>
              </c:numCache>
            </c:numRef>
          </c:val>
        </c:ser>
        <c:dLbls>
          <c:showLegendKey val="0"/>
          <c:showVal val="0"/>
          <c:showCatName val="0"/>
          <c:showSerName val="0"/>
          <c:showPercent val="0"/>
          <c:showBubbleSize val="0"/>
        </c:dLbls>
        <c:gapWidth val="219"/>
        <c:overlap val="-27"/>
        <c:axId val="433411168"/>
        <c:axId val="433411496"/>
      </c:barChart>
      <c:catAx>
        <c:axId val="433411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3411496"/>
        <c:crosses val="autoZero"/>
        <c:auto val="1"/>
        <c:lblAlgn val="ctr"/>
        <c:lblOffset val="100"/>
        <c:noMultiLvlLbl val="0"/>
      </c:catAx>
      <c:valAx>
        <c:axId val="4334114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341116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2ca83d6c-b588-488b-abf4-e5d6b0d54c8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78353827915623"/>
          <c:y val="0.833333333333333"/>
        </c:manualLayout>
      </c:layout>
      <c:overlay val="0"/>
      <c:spPr>
        <a:noFill/>
        <a:ln>
          <a:noFill/>
        </a:ln>
        <a:effectLst/>
      </c:spPr>
      <c:txPr>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单位：万元</c:v>
                </c:pt>
              </c:strCache>
            </c:strRef>
          </c:tx>
          <c:spPr/>
          <c:explosion val="0"/>
          <c:dPt>
            <c:idx val="0"/>
            <c:bubble3D val="0"/>
            <c:spPr>
              <a:solidFill>
                <a:schemeClr val="accent1"/>
              </a:solidFill>
              <a:ln w="19050">
                <a:solidFill>
                  <a:schemeClr val="lt1"/>
                </a:solidFill>
              </a:ln>
              <a:effectLst/>
            </c:spPr>
          </c:dPt>
          <c:dPt>
            <c:idx val="1"/>
            <c:bubble3D val="0"/>
            <c:explosion val="10"/>
            <c:spPr>
              <a:solidFill>
                <a:schemeClr val="accent2"/>
              </a:solidFill>
              <a:ln w="19050">
                <a:solidFill>
                  <a:schemeClr val="lt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10107.22</c:v>
                </c:pt>
                <c:pt idx="1">
                  <c:v>77.03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8910d7f-836d-4503-93fa-2a2586aab98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mn-lt"/>
                <a:ea typeface="+mn-ea"/>
                <a:cs typeface="+mn-cs"/>
              </a:defRPr>
            </a:pPr>
            <a:r>
              <a:rPr lang="zh-CN" altLang="en-US" sz="1000"/>
              <a:t>单位：万元</a:t>
            </a:r>
            <a:endParaRPr lang="zh-CN" altLang="en-US" sz="1000"/>
          </a:p>
        </c:rich>
      </c:tx>
      <c:layout>
        <c:manualLayout>
          <c:xMode val="edge"/>
          <c:yMode val="edge"/>
          <c:x val="0.774500361184686"/>
          <c:y val="0.883384932920537"/>
        </c:manualLayout>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8320.67</c:v>
                </c:pt>
                <c:pt idx="1">
                  <c:v>1863.59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cec82c4-3263-4a16-ae26-fc4fd53e053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单位：万元</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9651.58</c:v>
                </c:pt>
                <c:pt idx="1">
                  <c:v>10107.22</c:v>
                </c:pt>
              </c:numCache>
            </c:numRef>
          </c:val>
        </c:ser>
        <c:dLbls>
          <c:showLegendKey val="0"/>
          <c:showVal val="1"/>
          <c:showCatName val="0"/>
          <c:showSerName val="0"/>
          <c:showPercent val="0"/>
          <c:showBubbleSize val="0"/>
        </c:dLbls>
        <c:gapWidth val="219"/>
        <c:overlap val="-27"/>
        <c:axId val="632530784"/>
        <c:axId val="632527176"/>
      </c:barChart>
      <c:catAx>
        <c:axId val="632530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32527176"/>
        <c:crosses val="autoZero"/>
        <c:auto val="1"/>
        <c:lblAlgn val="ctr"/>
        <c:lblOffset val="100"/>
        <c:noMultiLvlLbl val="0"/>
      </c:catAx>
      <c:valAx>
        <c:axId val="632527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3253078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04bfe5a-837d-4626-98fd-75999bb6ddd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单位：万元</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9223.12</c:v>
                </c:pt>
                <c:pt idx="1">
                  <c:v>10107.22</c:v>
                </c:pt>
              </c:numCache>
            </c:numRef>
          </c:val>
        </c:ser>
        <c:dLbls>
          <c:showLegendKey val="0"/>
          <c:showVal val="1"/>
          <c:showCatName val="0"/>
          <c:showSerName val="0"/>
          <c:showPercent val="0"/>
          <c:showBubbleSize val="0"/>
        </c:dLbls>
        <c:gapWidth val="219"/>
        <c:overlap val="-27"/>
        <c:axId val="760352384"/>
        <c:axId val="760352712"/>
      </c:barChart>
      <c:catAx>
        <c:axId val="760352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0352712"/>
        <c:crosses val="autoZero"/>
        <c:auto val="1"/>
        <c:lblAlgn val="ctr"/>
        <c:lblOffset val="100"/>
        <c:noMultiLvlLbl val="0"/>
      </c:catAx>
      <c:valAx>
        <c:axId val="7603527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035238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bf38c6b-7cb0-42f3-8a26-cb8dc264d39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757645075848784"/>
          <c:y val="0.780185758513932"/>
        </c:manualLayout>
      </c:layout>
      <c:overlay val="0"/>
      <c:spPr>
        <a:noFill/>
        <a:ln>
          <a:noFill/>
        </a:ln>
        <a:effectLst/>
      </c:spPr>
      <c:txPr>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单位：万元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2"/>
              <c:layout>
                <c:manualLayout>
                  <c:x val="0.0198720780538117"/>
                  <c:y val="0.010208754865394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598584459389001"/>
                  <c:y val="0.0099549011481923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一般公共财政拨款收入</c:v>
                </c:pt>
                <c:pt idx="1">
                  <c:v>社会保障和就业支出</c:v>
                </c:pt>
                <c:pt idx="2">
                  <c:v>卫生健康支出</c:v>
                </c:pt>
                <c:pt idx="3">
                  <c:v>住房保障支出</c:v>
                </c:pt>
              </c:strCache>
            </c:strRef>
          </c:cat>
          <c:val>
            <c:numRef>
              <c:f>Sheet1!$B$2:$B$5</c:f>
              <c:numCache>
                <c:formatCode>General</c:formatCode>
                <c:ptCount val="4"/>
                <c:pt idx="0">
                  <c:v>8956.53</c:v>
                </c:pt>
                <c:pt idx="1">
                  <c:v>581.24</c:v>
                </c:pt>
                <c:pt idx="2">
                  <c:v>170.72</c:v>
                </c:pt>
                <c:pt idx="3">
                  <c:v>398.73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ea1f826-f9b1-474c-9d50-9bb213eab9d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791355646520588"/>
          <c:y val="0.6109391124871"/>
        </c:manualLayout>
      </c:layout>
      <c:overlay val="0"/>
      <c:spPr>
        <a:noFill/>
        <a:ln>
          <a:noFill/>
        </a:ln>
        <a:effectLst/>
      </c:spPr>
      <c:txPr>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单位：万元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c:v>
                </c:pt>
                <c:pt idx="1">
                  <c:v>公务用车运行维护费</c:v>
                </c:pt>
                <c:pt idx="2">
                  <c:v>公务接待费</c:v>
                </c:pt>
              </c:strCache>
            </c:strRef>
          </c:cat>
          <c:val>
            <c:numRef>
              <c:f>Sheet1!$B$2:$B$4</c:f>
              <c:numCache>
                <c:formatCode>General</c:formatCode>
                <c:ptCount val="3"/>
                <c:pt idx="0">
                  <c:v>0</c:v>
                </c:pt>
                <c:pt idx="1">
                  <c:v>271.71</c:v>
                </c:pt>
                <c:pt idx="2">
                  <c:v>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22a622e-8f6b-46d2-be73-36808c6a740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6629</Words>
  <Characters>7355</Characters>
  <Lines>217</Lines>
  <Paragraphs>61</Paragraphs>
  <TotalTime>14</TotalTime>
  <ScaleCrop>false</ScaleCrop>
  <LinksUpToDate>false</LinksUpToDate>
  <CharactersWithSpaces>7375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2025-09-04T09:05:00Z</dcterms:created>
  <dc:creator>Administrator</dc:creator>
  <cp:lastModifiedBy>Administrator</cp:lastModifiedBy>
  <dcterms:modified xsi:type="dcterms:W3CDTF">2025-09-22T07:55:25Z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F7068DAC580A41E193676D62E88335EF_12</vt:lpwstr>
  </property>
  <property fmtid="{D5CDD505-2E9C-101B-9397-08002B2CF9AE}" pid="4" name="KSOTemplateDocerSaveRecord">
    <vt:lpwstr>eyJoZGlkIjoiYTc2ZGZiNzZiNDVlOGViOWVmM2JhOTY0NGJkNjUyYzgiLCJ1c2VySWQiOiIyMjA2OTAwNTAifQ==</vt:lpwstr>
  </property>
</Properties>
</file>